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151C36" w14:textId="5E4E4C8D" w:rsidR="00D601AC" w:rsidRPr="007C5B29" w:rsidRDefault="00F36EC0" w:rsidP="00C91548">
      <w:pPr>
        <w:spacing w:after="0" w:line="240" w:lineRule="auto"/>
        <w:rPr>
          <w:rFonts w:ascii="Open Sans" w:hAnsi="Open Sans" w:cs="Open Sans"/>
          <w:b/>
          <w:color w:val="244061" w:themeColor="accent1" w:themeShade="80"/>
          <w:sz w:val="28"/>
          <w:szCs w:val="28"/>
          <w:lang w:val="en-GB"/>
        </w:rPr>
      </w:pPr>
      <w:r w:rsidRPr="007C5B29">
        <w:rPr>
          <w:rFonts w:ascii="Open Sans" w:hAnsi="Open Sans" w:cs="Open Sans"/>
          <w:b/>
          <w:color w:val="244061" w:themeColor="accent1" w:themeShade="80"/>
          <w:sz w:val="28"/>
          <w:szCs w:val="28"/>
          <w:lang w:val="en-GB"/>
        </w:rPr>
        <w:t>FACTSHEET 5</w:t>
      </w:r>
      <w:r w:rsidR="00395D3E" w:rsidRPr="007C5B29">
        <w:rPr>
          <w:rFonts w:ascii="Open Sans" w:hAnsi="Open Sans" w:cs="Open Sans"/>
          <w:b/>
          <w:color w:val="244061" w:themeColor="accent1" w:themeShade="80"/>
          <w:sz w:val="28"/>
          <w:szCs w:val="28"/>
          <w:lang w:val="en-GB"/>
        </w:rPr>
        <w:t>_</w:t>
      </w:r>
      <w:r w:rsidRPr="007C5B29">
        <w:rPr>
          <w:rFonts w:ascii="Open Sans" w:hAnsi="Open Sans" w:cs="Open Sans"/>
          <w:b/>
          <w:color w:val="244061" w:themeColor="accent1" w:themeShade="80"/>
          <w:sz w:val="28"/>
          <w:szCs w:val="28"/>
          <w:lang w:val="en-GB"/>
        </w:rPr>
        <w:t>Priority axis PA5</w:t>
      </w:r>
      <w:r w:rsidR="00FF6A93" w:rsidRPr="007C5B29">
        <w:rPr>
          <w:rFonts w:ascii="Open Sans" w:hAnsi="Open Sans" w:cs="Open Sans"/>
          <w:b/>
          <w:color w:val="244061" w:themeColor="accent1" w:themeShade="80"/>
          <w:sz w:val="28"/>
          <w:szCs w:val="28"/>
          <w:lang w:val="en-GB"/>
        </w:rPr>
        <w:t>_</w:t>
      </w:r>
      <w:r w:rsidR="00834B0C" w:rsidRPr="007C5B29">
        <w:rPr>
          <w:rFonts w:ascii="Open Sans" w:hAnsi="Open Sans" w:cs="Open Sans"/>
          <w:color w:val="244061" w:themeColor="accent1" w:themeShade="80"/>
        </w:rPr>
        <w:t xml:space="preserve"> </w:t>
      </w:r>
      <w:r w:rsidR="00834B0C" w:rsidRPr="007C5B29">
        <w:rPr>
          <w:rFonts w:ascii="Open Sans" w:hAnsi="Open Sans" w:cs="Open Sans"/>
          <w:b/>
          <w:color w:val="244061" w:themeColor="accent1" w:themeShade="80"/>
          <w:sz w:val="28"/>
          <w:szCs w:val="28"/>
          <w:lang w:val="en-GB"/>
        </w:rPr>
        <w:t xml:space="preserve">Improve risk-prevention and disaster management (Cooperating on risk prevention and disaster management) </w:t>
      </w:r>
    </w:p>
    <w:p w14:paraId="25DAF5BE" w14:textId="77777777" w:rsidR="000E3A02" w:rsidRPr="007C5B29" w:rsidRDefault="000E3A02" w:rsidP="00F95809">
      <w:pPr>
        <w:spacing w:after="0" w:line="240" w:lineRule="auto"/>
        <w:jc w:val="center"/>
        <w:rPr>
          <w:rFonts w:ascii="Open Sans" w:hAnsi="Open Sans" w:cs="Open Sans"/>
          <w:b/>
          <w:color w:val="244061" w:themeColor="accent1" w:themeShade="80"/>
          <w:sz w:val="28"/>
          <w:szCs w:val="28"/>
          <w:lang w:val="en-GB"/>
        </w:rPr>
      </w:pPr>
    </w:p>
    <w:p w14:paraId="6DE8216D" w14:textId="07FD080B" w:rsidR="00D601AC" w:rsidRPr="007C5B29" w:rsidRDefault="00D601AC" w:rsidP="00D84E13">
      <w:pPr>
        <w:jc w:val="both"/>
        <w:rPr>
          <w:rFonts w:ascii="Open Sans" w:hAnsi="Open Sans" w:cs="Open Sans"/>
          <w:b/>
          <w:color w:val="244061" w:themeColor="accent1" w:themeShade="80"/>
          <w:sz w:val="24"/>
          <w:szCs w:val="24"/>
          <w:lang w:val="en-GB"/>
        </w:rPr>
      </w:pPr>
      <w:r w:rsidRPr="007C5B29">
        <w:rPr>
          <w:rFonts w:ascii="Open Sans" w:hAnsi="Open Sans" w:cs="Open Sans"/>
          <w:b/>
          <w:color w:val="244061" w:themeColor="accent1" w:themeShade="80"/>
          <w:sz w:val="24"/>
          <w:szCs w:val="24"/>
          <w:lang w:val="en-GB"/>
        </w:rPr>
        <w:t>Investment priority</w:t>
      </w:r>
      <w:r w:rsidR="00E74021" w:rsidRPr="007C5B29">
        <w:rPr>
          <w:rFonts w:ascii="Open Sans" w:hAnsi="Open Sans" w:cs="Open Sans"/>
          <w:b/>
          <w:color w:val="244061" w:themeColor="accent1" w:themeShade="80"/>
          <w:sz w:val="24"/>
          <w:szCs w:val="24"/>
          <w:lang w:val="en-GB"/>
        </w:rPr>
        <w:t xml:space="preserve"> </w:t>
      </w:r>
      <w:r w:rsidR="00F36EC0" w:rsidRPr="007C5B29">
        <w:rPr>
          <w:rFonts w:ascii="Open Sans" w:hAnsi="Open Sans" w:cs="Open Sans"/>
          <w:b/>
          <w:color w:val="244061" w:themeColor="accent1" w:themeShade="80"/>
          <w:sz w:val="24"/>
          <w:szCs w:val="24"/>
          <w:lang w:val="en-GB"/>
        </w:rPr>
        <w:t>5</w:t>
      </w:r>
      <w:r w:rsidR="00E74021" w:rsidRPr="007C5B29">
        <w:rPr>
          <w:rFonts w:ascii="Open Sans" w:hAnsi="Open Sans" w:cs="Open Sans"/>
          <w:b/>
          <w:color w:val="244061" w:themeColor="accent1" w:themeShade="80"/>
          <w:sz w:val="24"/>
          <w:szCs w:val="24"/>
          <w:lang w:val="en-GB"/>
        </w:rPr>
        <w:t>/</w:t>
      </w:r>
      <w:r w:rsidR="00D84E13" w:rsidRPr="007C5B29">
        <w:rPr>
          <w:rFonts w:ascii="Open Sans" w:hAnsi="Open Sans" w:cs="Open Sans"/>
          <w:b/>
          <w:color w:val="244061" w:themeColor="accent1" w:themeShade="80"/>
          <w:sz w:val="24"/>
          <w:szCs w:val="24"/>
          <w:lang w:val="en-GB"/>
        </w:rPr>
        <w:t>b</w:t>
      </w:r>
      <w:r w:rsidRPr="007C5B29">
        <w:rPr>
          <w:rFonts w:ascii="Open Sans" w:hAnsi="Open Sans" w:cs="Open Sans"/>
          <w:b/>
          <w:color w:val="244061" w:themeColor="accent1" w:themeShade="80"/>
          <w:sz w:val="24"/>
          <w:szCs w:val="24"/>
          <w:lang w:val="en-GB"/>
        </w:rPr>
        <w:t xml:space="preserve">: </w:t>
      </w:r>
      <w:r w:rsidR="00834B0C" w:rsidRPr="007C5B29">
        <w:rPr>
          <w:rFonts w:ascii="Open Sans" w:hAnsi="Open Sans" w:cs="Open Sans"/>
          <w:b/>
          <w:color w:val="244061" w:themeColor="accent1" w:themeShade="80"/>
          <w:sz w:val="24"/>
          <w:szCs w:val="24"/>
          <w:lang w:val="en-GB"/>
        </w:rPr>
        <w:t xml:space="preserve">Promoting investment to address specific risks, ensuring disaster resilience and developing disaster management systems </w:t>
      </w:r>
    </w:p>
    <w:p w14:paraId="5332C79F" w14:textId="54489DB5" w:rsidR="0079079D" w:rsidRPr="007C5B29" w:rsidRDefault="0079079D" w:rsidP="00C50B2A">
      <w:pPr>
        <w:shd w:val="clear" w:color="auto" w:fill="FF0000"/>
        <w:spacing w:after="216" w:line="259" w:lineRule="auto"/>
        <w:rPr>
          <w:rFonts w:ascii="Open Sans" w:hAnsi="Open Sans" w:cs="Open Sans"/>
          <w:b/>
          <w:color w:val="244061" w:themeColor="accent1" w:themeShade="80"/>
          <w:lang w:val="en-GB"/>
        </w:rPr>
      </w:pPr>
      <w:r w:rsidRPr="007C5B29">
        <w:rPr>
          <w:rFonts w:ascii="Open Sans" w:hAnsi="Open Sans" w:cs="Open Sans"/>
          <w:b/>
          <w:color w:val="244061" w:themeColor="accent1" w:themeShade="80"/>
          <w:sz w:val="72"/>
          <w:szCs w:val="72"/>
          <w:lang w:val="en-GB"/>
        </w:rPr>
        <w:sym w:font="Wingdings" w:char="F024"/>
      </w:r>
      <w:r w:rsidRPr="007C5B29">
        <w:rPr>
          <w:rFonts w:ascii="Open Sans" w:hAnsi="Open Sans" w:cs="Open Sans"/>
          <w:b/>
          <w:color w:val="244061" w:themeColor="accent1" w:themeShade="80"/>
          <w:lang w:val="en-GB"/>
        </w:rPr>
        <w:t>Focus of interventions</w:t>
      </w:r>
      <w:r w:rsidR="00BC2FB2">
        <w:rPr>
          <w:rFonts w:ascii="Open Sans" w:hAnsi="Open Sans" w:cs="Open Sans"/>
          <w:b/>
          <w:color w:val="244061" w:themeColor="accent1" w:themeShade="80"/>
          <w:lang w:val="en-GB"/>
        </w:rPr>
        <w:t>:</w:t>
      </w:r>
    </w:p>
    <w:p w14:paraId="348ECAF5" w14:textId="23CA9E3B" w:rsidR="00F55F17" w:rsidRPr="007C5B29" w:rsidRDefault="00B97D35" w:rsidP="006748D1">
      <w:pPr>
        <w:spacing w:before="120" w:after="120"/>
        <w:jc w:val="both"/>
        <w:rPr>
          <w:rFonts w:ascii="Open Sans" w:hAnsi="Open Sans" w:cs="Open Sans"/>
          <w:color w:val="244061" w:themeColor="accent1" w:themeShade="80"/>
          <w:lang w:val="en-US"/>
        </w:rPr>
      </w:pPr>
      <w:r w:rsidRPr="007C5B29">
        <w:rPr>
          <w:rFonts w:ascii="Open Sans" w:hAnsi="Open Sans" w:cs="Open Sans"/>
          <w:color w:val="244061" w:themeColor="accent1" w:themeShade="80"/>
          <w:lang w:val="en-US"/>
        </w:rPr>
        <w:t>Interventions will focus on j</w:t>
      </w:r>
      <w:r w:rsidR="00F55F17" w:rsidRPr="007C5B29">
        <w:rPr>
          <w:rFonts w:ascii="Open Sans" w:hAnsi="Open Sans" w:cs="Open Sans"/>
          <w:color w:val="244061" w:themeColor="accent1" w:themeShade="80"/>
          <w:lang w:val="en-US"/>
        </w:rPr>
        <w:t>oint development of the emergency response and disaster management capacity in the eligible border area in order to facilitate rapid joint actions in case of emergency situations, reducing response time, especially in the immediate neighborhood of the state borders.</w:t>
      </w:r>
    </w:p>
    <w:p w14:paraId="74D26614" w14:textId="2F2513D4" w:rsidR="00F55F17" w:rsidRPr="007C5B29" w:rsidRDefault="00F55F17" w:rsidP="006748D1">
      <w:pPr>
        <w:spacing w:before="120" w:after="120"/>
        <w:jc w:val="both"/>
        <w:rPr>
          <w:rFonts w:ascii="Open Sans" w:hAnsi="Open Sans" w:cs="Open Sans"/>
          <w:color w:val="244061" w:themeColor="accent1" w:themeShade="80"/>
          <w:lang w:val="en-US"/>
        </w:rPr>
      </w:pPr>
      <w:r w:rsidRPr="007C5B29">
        <w:rPr>
          <w:rFonts w:ascii="Open Sans" w:hAnsi="Open Sans" w:cs="Open Sans"/>
          <w:color w:val="244061" w:themeColor="accent1" w:themeShade="80"/>
          <w:lang w:val="en-US"/>
        </w:rPr>
        <w:t xml:space="preserve">Coordinated development of common risk prevention and emergency response system </w:t>
      </w:r>
      <w:r w:rsidR="00B97D35" w:rsidRPr="007C5B29">
        <w:rPr>
          <w:rFonts w:ascii="Open Sans" w:hAnsi="Open Sans" w:cs="Open Sans"/>
          <w:color w:val="244061" w:themeColor="accent1" w:themeShade="80"/>
          <w:lang w:val="en-US"/>
        </w:rPr>
        <w:t xml:space="preserve">shall be implemented </w:t>
      </w:r>
      <w:r w:rsidRPr="007C5B29">
        <w:rPr>
          <w:rFonts w:ascii="Open Sans" w:hAnsi="Open Sans" w:cs="Open Sans"/>
          <w:color w:val="244061" w:themeColor="accent1" w:themeShade="80"/>
          <w:lang w:val="en-US"/>
        </w:rPr>
        <w:t>- investments into emergency response and risk prevention facilities and equipment, improvement of emergency response communication, harmonization of protocols and procedures, joint training and practices of organizations involved in emergency response and disaster management in the eligible area.</w:t>
      </w:r>
    </w:p>
    <w:p w14:paraId="747A121B" w14:textId="1C7B5407" w:rsidR="00F55F17" w:rsidRPr="007C5B29" w:rsidRDefault="00F55F17" w:rsidP="006748D1">
      <w:pPr>
        <w:spacing w:before="120" w:after="120"/>
        <w:jc w:val="both"/>
        <w:rPr>
          <w:rFonts w:ascii="Open Sans" w:hAnsi="Open Sans" w:cs="Open Sans"/>
          <w:color w:val="244061" w:themeColor="accent1" w:themeShade="80"/>
          <w:lang w:val="en-US"/>
        </w:rPr>
      </w:pPr>
      <w:r w:rsidRPr="007C5B29">
        <w:rPr>
          <w:rFonts w:ascii="Open Sans" w:hAnsi="Open Sans" w:cs="Open Sans"/>
          <w:color w:val="244061" w:themeColor="accent1" w:themeShade="80"/>
          <w:lang w:val="en-US"/>
        </w:rPr>
        <w:t>Any intervention shall take into account projects and studies related to Priority Area 5 of the EUSDR that deals with environmental and man-made risks and with the operational cooperation among the emergency response authorities in the area.</w:t>
      </w:r>
    </w:p>
    <w:p w14:paraId="77F76C57" w14:textId="12E61D24" w:rsidR="0079079D" w:rsidRPr="007C5B29" w:rsidRDefault="00F55F17" w:rsidP="006748D1">
      <w:pPr>
        <w:spacing w:before="120" w:after="120"/>
        <w:jc w:val="both"/>
        <w:rPr>
          <w:rFonts w:ascii="Open Sans" w:hAnsi="Open Sans" w:cs="Open Sans"/>
          <w:color w:val="244061" w:themeColor="accent1" w:themeShade="80"/>
          <w:lang w:val="en-GB"/>
        </w:rPr>
      </w:pPr>
      <w:r w:rsidRPr="007C5B29">
        <w:rPr>
          <w:rFonts w:ascii="Open Sans" w:hAnsi="Open Sans" w:cs="Open Sans"/>
          <w:color w:val="244061" w:themeColor="accent1" w:themeShade="80"/>
          <w:lang w:val="en-US"/>
        </w:rPr>
        <w:t xml:space="preserve">The </w:t>
      </w:r>
      <w:proofErr w:type="spellStart"/>
      <w:r w:rsidRPr="007C5B29">
        <w:rPr>
          <w:rFonts w:ascii="Open Sans" w:hAnsi="Open Sans" w:cs="Open Sans"/>
          <w:color w:val="244061" w:themeColor="accent1" w:themeShade="80"/>
          <w:lang w:val="en-US"/>
        </w:rPr>
        <w:t>Programme</w:t>
      </w:r>
      <w:proofErr w:type="spellEnd"/>
      <w:r w:rsidRPr="007C5B29">
        <w:rPr>
          <w:rFonts w:ascii="Open Sans" w:hAnsi="Open Sans" w:cs="Open Sans"/>
          <w:color w:val="244061" w:themeColor="accent1" w:themeShade="80"/>
          <w:lang w:val="en-US"/>
        </w:rPr>
        <w:t xml:space="preserve"> area is part of the Danube region; therefore, in the EUSDR context projects in line with the Partnership Agreements of both countries can be supported. </w:t>
      </w:r>
    </w:p>
    <w:p w14:paraId="177E6756" w14:textId="77777777" w:rsidR="007C5B29" w:rsidRPr="007C5B29" w:rsidRDefault="007C5B29" w:rsidP="007C5B29">
      <w:pPr>
        <w:shd w:val="clear" w:color="auto" w:fill="FF0000"/>
        <w:spacing w:after="216" w:line="259" w:lineRule="auto"/>
        <w:rPr>
          <w:rFonts w:ascii="Open Sans" w:hAnsi="Open Sans" w:cs="Open Sans"/>
          <w:b/>
          <w:color w:val="244061" w:themeColor="accent1" w:themeShade="80"/>
          <w:sz w:val="72"/>
          <w:szCs w:val="72"/>
          <w:lang w:val="en-GB"/>
        </w:rPr>
      </w:pPr>
      <w:r w:rsidRPr="007C5B29">
        <w:rPr>
          <w:rFonts w:ascii="Open Sans" w:hAnsi="Open Sans" w:cs="Open Sans"/>
          <w:b/>
          <w:color w:val="244061" w:themeColor="accent1" w:themeShade="80"/>
          <w:sz w:val="72"/>
          <w:szCs w:val="72"/>
          <w:lang w:val="en-GB"/>
        </w:rPr>
        <w:sym w:font="Wingdings" w:char="F021"/>
      </w:r>
      <w:r w:rsidRPr="007C5B29">
        <w:rPr>
          <w:rFonts w:ascii="Open Sans" w:eastAsia="Times New Roman" w:hAnsi="Open Sans" w:cs="Open Sans"/>
          <w:b/>
          <w:color w:val="244061" w:themeColor="accent1" w:themeShade="80"/>
          <w:lang w:val="en-GB"/>
        </w:rPr>
        <w:t xml:space="preserve">Indicative actions:                                                                                                               </w:t>
      </w:r>
    </w:p>
    <w:p w14:paraId="674EFDF8" w14:textId="690A5664" w:rsidR="007C5B29" w:rsidRPr="007C5B29" w:rsidRDefault="00706E43" w:rsidP="007C5B29">
      <w:pPr>
        <w:spacing w:before="120" w:after="120"/>
        <w:jc w:val="both"/>
        <w:rPr>
          <w:rFonts w:ascii="Open Sans" w:eastAsia="Times New Roman" w:hAnsi="Open Sans" w:cs="Open Sans"/>
          <w:color w:val="244061" w:themeColor="accent1" w:themeShade="80"/>
          <w:lang w:val="en-GB"/>
        </w:rPr>
      </w:pPr>
      <w:r>
        <w:rPr>
          <w:rFonts w:ascii="Open Sans" w:eastAsia="Times New Roman" w:hAnsi="Open Sans" w:cs="Open Sans"/>
          <w:color w:val="244061" w:themeColor="accent1" w:themeShade="80"/>
          <w:lang w:val="en-GB"/>
        </w:rPr>
        <w:t>The indicative a</w:t>
      </w:r>
      <w:r w:rsidR="00995949">
        <w:rPr>
          <w:rFonts w:ascii="Open Sans" w:eastAsia="Times New Roman" w:hAnsi="Open Sans" w:cs="Open Sans"/>
          <w:color w:val="244061" w:themeColor="accent1" w:themeShade="80"/>
          <w:lang w:val="en-GB"/>
        </w:rPr>
        <w:t>ctions w</w:t>
      </w:r>
      <w:r w:rsidR="007C5B29" w:rsidRPr="007C5B29">
        <w:rPr>
          <w:rFonts w:ascii="Open Sans" w:eastAsia="Times New Roman" w:hAnsi="Open Sans" w:cs="Open Sans"/>
          <w:color w:val="244061" w:themeColor="accent1" w:themeShade="80"/>
          <w:lang w:val="en-GB"/>
        </w:rPr>
        <w:t>ill be related to prevention and management of disasters and risks in the eligible border area, harmonized interventions, continuous communication and proper infrastructure and equipment, in order to enable effective and rapid emergency response.</w:t>
      </w:r>
    </w:p>
    <w:p w14:paraId="70A1F311" w14:textId="77777777" w:rsidR="00711B53" w:rsidRPr="007C5B29" w:rsidRDefault="00711B53" w:rsidP="006748D1">
      <w:pPr>
        <w:spacing w:before="120" w:after="120"/>
        <w:jc w:val="both"/>
        <w:rPr>
          <w:rFonts w:ascii="Open Sans" w:hAnsi="Open Sans" w:cs="Open Sans"/>
          <w:i/>
          <w:color w:val="244061" w:themeColor="accent1" w:themeShade="80"/>
          <w:lang w:val="en-GB"/>
        </w:rPr>
      </w:pPr>
      <w:r w:rsidRPr="007C5B29">
        <w:rPr>
          <w:rFonts w:ascii="Open Sans" w:hAnsi="Open Sans" w:cs="Open Sans"/>
          <w:i/>
          <w:color w:val="244061" w:themeColor="accent1" w:themeShade="80"/>
          <w:lang w:val="en-GB"/>
        </w:rPr>
        <w:t>Preventive interventions to avoid emergency situations</w:t>
      </w:r>
    </w:p>
    <w:p w14:paraId="1BC1DBB7" w14:textId="77777777" w:rsidR="00711B53" w:rsidRPr="007C5B29" w:rsidRDefault="00711B53" w:rsidP="006748D1">
      <w:pPr>
        <w:spacing w:before="120" w:after="120"/>
        <w:jc w:val="both"/>
        <w:rPr>
          <w:rFonts w:ascii="Open Sans" w:hAnsi="Open Sans" w:cs="Open Sans"/>
          <w:color w:val="244061" w:themeColor="accent1" w:themeShade="80"/>
          <w:lang w:val="en-GB"/>
        </w:rPr>
      </w:pPr>
      <w:r w:rsidRPr="007C5B29">
        <w:rPr>
          <w:rFonts w:ascii="Open Sans" w:hAnsi="Open Sans" w:cs="Open Sans"/>
          <w:color w:val="244061" w:themeColor="accent1" w:themeShade="80"/>
          <w:lang w:val="en-GB"/>
        </w:rPr>
        <w:t xml:space="preserve">Interventions aimed at reducing the risk of anthropic and also climate-change related emergency situations. </w:t>
      </w:r>
    </w:p>
    <w:p w14:paraId="458C4963" w14:textId="77777777" w:rsidR="00711B53" w:rsidRPr="007C5B29" w:rsidRDefault="00711B53" w:rsidP="006748D1">
      <w:pPr>
        <w:spacing w:before="120" w:after="120"/>
        <w:jc w:val="both"/>
        <w:rPr>
          <w:rFonts w:ascii="Open Sans" w:hAnsi="Open Sans" w:cs="Open Sans"/>
          <w:i/>
          <w:color w:val="244061" w:themeColor="accent1" w:themeShade="80"/>
          <w:lang w:val="en-GB"/>
        </w:rPr>
      </w:pPr>
      <w:r w:rsidRPr="007C5B29">
        <w:rPr>
          <w:rFonts w:ascii="Open Sans" w:hAnsi="Open Sans" w:cs="Open Sans"/>
          <w:i/>
          <w:color w:val="244061" w:themeColor="accent1" w:themeShade="80"/>
          <w:lang w:val="en-GB"/>
        </w:rPr>
        <w:lastRenderedPageBreak/>
        <w:t>Investments into the development of emergency response and risk management infrastructure and equipment</w:t>
      </w:r>
    </w:p>
    <w:p w14:paraId="3380DD0B" w14:textId="26619FF2" w:rsidR="00711B53" w:rsidRPr="007C5B29" w:rsidRDefault="00711B53" w:rsidP="006748D1">
      <w:pPr>
        <w:spacing w:before="120" w:after="120"/>
        <w:jc w:val="both"/>
        <w:rPr>
          <w:rFonts w:ascii="Open Sans" w:hAnsi="Open Sans" w:cs="Open Sans"/>
          <w:color w:val="244061" w:themeColor="accent1" w:themeShade="80"/>
          <w:lang w:val="en-GB"/>
        </w:rPr>
      </w:pPr>
      <w:r w:rsidRPr="007C5B29">
        <w:rPr>
          <w:rFonts w:ascii="Open Sans" w:hAnsi="Open Sans" w:cs="Open Sans"/>
          <w:color w:val="244061" w:themeColor="accent1" w:themeShade="80"/>
          <w:lang w:val="en-GB"/>
        </w:rPr>
        <w:t>Interventions aimed at the coordinated development and upgrading of emergency response and risk management facilities, equipment on both sides on the border, enabling rapid and effective harmonized actions to address various emergency situations in the border area.</w:t>
      </w:r>
    </w:p>
    <w:p w14:paraId="71ACCBD4" w14:textId="77777777" w:rsidR="00711B53" w:rsidRPr="007C5B29" w:rsidRDefault="00711B53" w:rsidP="006748D1">
      <w:pPr>
        <w:spacing w:before="120" w:after="120"/>
        <w:jc w:val="both"/>
        <w:rPr>
          <w:rFonts w:ascii="Open Sans" w:hAnsi="Open Sans" w:cs="Open Sans"/>
          <w:i/>
          <w:color w:val="244061" w:themeColor="accent1" w:themeShade="80"/>
          <w:lang w:val="en-GB"/>
        </w:rPr>
      </w:pPr>
      <w:r w:rsidRPr="007C5B29">
        <w:rPr>
          <w:rFonts w:ascii="Open Sans" w:hAnsi="Open Sans" w:cs="Open Sans"/>
          <w:i/>
          <w:color w:val="244061" w:themeColor="accent1" w:themeShade="80"/>
          <w:lang w:val="en-GB"/>
        </w:rPr>
        <w:t>Interventions improving joint preparedness in emergency situations</w:t>
      </w:r>
    </w:p>
    <w:p w14:paraId="25EAEA64" w14:textId="1B32EAFB" w:rsidR="00711B53" w:rsidRPr="007C5B29" w:rsidRDefault="00711B53" w:rsidP="006748D1">
      <w:pPr>
        <w:spacing w:before="120" w:after="120"/>
        <w:jc w:val="both"/>
        <w:rPr>
          <w:rFonts w:ascii="Open Sans" w:hAnsi="Open Sans" w:cs="Open Sans"/>
          <w:color w:val="244061" w:themeColor="accent1" w:themeShade="80"/>
          <w:lang w:val="en-GB"/>
        </w:rPr>
      </w:pPr>
      <w:r w:rsidRPr="007C5B29">
        <w:rPr>
          <w:rFonts w:ascii="Open Sans" w:hAnsi="Open Sans" w:cs="Open Sans"/>
          <w:color w:val="244061" w:themeColor="accent1" w:themeShade="80"/>
          <w:lang w:val="en-GB"/>
        </w:rPr>
        <w:t>Soft measures – like exchange of information, data, knowledge sharing, the delivery of joint exercises of personnel, and the awareness raising of the population are foreseen both the official and the voluntary organizations.</w:t>
      </w:r>
    </w:p>
    <w:p w14:paraId="44F7B194" w14:textId="6E4B4269" w:rsidR="00D601AC" w:rsidRPr="007C5B29" w:rsidRDefault="003C427A" w:rsidP="00C50B2A">
      <w:pPr>
        <w:shd w:val="clear" w:color="auto" w:fill="FF0000"/>
        <w:jc w:val="both"/>
        <w:rPr>
          <w:rFonts w:ascii="Open Sans" w:hAnsi="Open Sans" w:cs="Open Sans"/>
          <w:b/>
          <w:color w:val="244061" w:themeColor="accent1" w:themeShade="80"/>
          <w:lang w:val="en-GB"/>
        </w:rPr>
      </w:pPr>
      <w:r w:rsidRPr="007C5B29">
        <w:rPr>
          <w:rFonts w:ascii="Open Sans" w:hAnsi="Open Sans" w:cs="Open Sans"/>
          <w:b/>
          <w:color w:val="244061" w:themeColor="accent1" w:themeShade="80"/>
          <w:sz w:val="72"/>
          <w:szCs w:val="72"/>
          <w:lang w:val="en-GB"/>
        </w:rPr>
        <w:sym w:font="Wingdings" w:char="F034"/>
      </w:r>
      <w:r w:rsidR="00D601AC" w:rsidRPr="007C5B29">
        <w:rPr>
          <w:rFonts w:ascii="Open Sans" w:hAnsi="Open Sans" w:cs="Open Sans"/>
          <w:b/>
          <w:color w:val="244061" w:themeColor="accent1" w:themeShade="80"/>
          <w:lang w:val="en-GB"/>
        </w:rPr>
        <w:t>Types of acti</w:t>
      </w:r>
      <w:r w:rsidR="00E74021" w:rsidRPr="007C5B29">
        <w:rPr>
          <w:rFonts w:ascii="Open Sans" w:hAnsi="Open Sans" w:cs="Open Sans"/>
          <w:b/>
          <w:color w:val="244061" w:themeColor="accent1" w:themeShade="80"/>
          <w:lang w:val="en-GB"/>
        </w:rPr>
        <w:t>vities</w:t>
      </w:r>
      <w:r w:rsidR="00D601AC" w:rsidRPr="007C5B29">
        <w:rPr>
          <w:rFonts w:ascii="Open Sans" w:hAnsi="Open Sans" w:cs="Open Sans"/>
          <w:b/>
          <w:color w:val="244061" w:themeColor="accent1" w:themeShade="80"/>
          <w:lang w:val="en-GB"/>
        </w:rPr>
        <w:t xml:space="preserve"> include, among others:</w:t>
      </w:r>
    </w:p>
    <w:p w14:paraId="5575AFDC" w14:textId="62766BED" w:rsidR="00CA3358" w:rsidRPr="007C5B29" w:rsidRDefault="00CA3358" w:rsidP="00CA3358">
      <w:pPr>
        <w:pStyle w:val="ListParagraph"/>
        <w:numPr>
          <w:ilvl w:val="0"/>
          <w:numId w:val="23"/>
        </w:numPr>
        <w:jc w:val="both"/>
        <w:rPr>
          <w:rFonts w:ascii="Open Sans" w:hAnsi="Open Sans" w:cs="Open Sans"/>
          <w:color w:val="244061" w:themeColor="accent1" w:themeShade="80"/>
          <w:lang w:val="en-GB"/>
        </w:rPr>
      </w:pPr>
      <w:r w:rsidRPr="007C5B29">
        <w:rPr>
          <w:rFonts w:ascii="Open Sans" w:hAnsi="Open Sans" w:cs="Open Sans"/>
          <w:color w:val="244061" w:themeColor="accent1" w:themeShade="80"/>
          <w:lang w:val="en-GB"/>
        </w:rPr>
        <w:t>Development and implementation of harmonized standards and systems for better forecasting and natural / anthropogenic risk management in the cross-border area</w:t>
      </w:r>
    </w:p>
    <w:p w14:paraId="1EE8641E" w14:textId="6A588F18" w:rsidR="00CA3358" w:rsidRPr="007C5B29" w:rsidRDefault="00CA3358" w:rsidP="00CA3358">
      <w:pPr>
        <w:pStyle w:val="ListParagraph"/>
        <w:numPr>
          <w:ilvl w:val="0"/>
          <w:numId w:val="23"/>
        </w:numPr>
        <w:jc w:val="both"/>
        <w:rPr>
          <w:rFonts w:ascii="Open Sans" w:hAnsi="Open Sans" w:cs="Open Sans"/>
          <w:color w:val="244061" w:themeColor="accent1" w:themeShade="80"/>
          <w:lang w:val="en-GB"/>
        </w:rPr>
      </w:pPr>
      <w:r w:rsidRPr="007C5B29">
        <w:rPr>
          <w:rFonts w:ascii="Open Sans" w:hAnsi="Open Sans" w:cs="Open Sans"/>
          <w:color w:val="244061" w:themeColor="accent1" w:themeShade="80"/>
          <w:lang w:val="en-GB"/>
        </w:rPr>
        <w:t>Land improvement for regions with high and average hazard natural risk level</w:t>
      </w:r>
    </w:p>
    <w:p w14:paraId="545593A3" w14:textId="45D7294F" w:rsidR="00CA3358" w:rsidRPr="007C5B29" w:rsidRDefault="00CA3358" w:rsidP="00CA3358">
      <w:pPr>
        <w:pStyle w:val="ListParagraph"/>
        <w:numPr>
          <w:ilvl w:val="0"/>
          <w:numId w:val="23"/>
        </w:numPr>
        <w:jc w:val="both"/>
        <w:rPr>
          <w:rFonts w:ascii="Open Sans" w:hAnsi="Open Sans" w:cs="Open Sans"/>
          <w:color w:val="244061" w:themeColor="accent1" w:themeShade="80"/>
          <w:lang w:val="en-GB"/>
        </w:rPr>
      </w:pPr>
      <w:r w:rsidRPr="007C5B29">
        <w:rPr>
          <w:rFonts w:ascii="Open Sans" w:hAnsi="Open Sans" w:cs="Open Sans"/>
          <w:color w:val="244061" w:themeColor="accent1" w:themeShade="80"/>
          <w:lang w:val="en-GB"/>
        </w:rPr>
        <w:t>Setting up the harmonized and integrated tools for risk prevention and mitigation in order to provide a joint response to emergency situations</w:t>
      </w:r>
    </w:p>
    <w:p w14:paraId="720DABA7" w14:textId="03754B52" w:rsidR="00CA3358" w:rsidRPr="007C5B29" w:rsidRDefault="00CA3358" w:rsidP="00CA3358">
      <w:pPr>
        <w:pStyle w:val="ListParagraph"/>
        <w:numPr>
          <w:ilvl w:val="0"/>
          <w:numId w:val="23"/>
        </w:numPr>
        <w:jc w:val="both"/>
        <w:rPr>
          <w:rFonts w:ascii="Open Sans" w:hAnsi="Open Sans" w:cs="Open Sans"/>
          <w:color w:val="244061" w:themeColor="accent1" w:themeShade="80"/>
          <w:lang w:val="en-GB"/>
        </w:rPr>
      </w:pPr>
      <w:r w:rsidRPr="007C5B29">
        <w:rPr>
          <w:rFonts w:ascii="Open Sans" w:hAnsi="Open Sans" w:cs="Open Sans"/>
          <w:color w:val="244061" w:themeColor="accent1" w:themeShade="80"/>
          <w:lang w:val="en-GB"/>
        </w:rPr>
        <w:t>Development of regional level cross-border infrastructure in the field of emergency preparedness</w:t>
      </w:r>
    </w:p>
    <w:p w14:paraId="117F24E6" w14:textId="188D6556" w:rsidR="00CA3358" w:rsidRPr="007C5B29" w:rsidRDefault="00CA3358" w:rsidP="00CA3358">
      <w:pPr>
        <w:pStyle w:val="ListParagraph"/>
        <w:numPr>
          <w:ilvl w:val="0"/>
          <w:numId w:val="23"/>
        </w:numPr>
        <w:jc w:val="both"/>
        <w:rPr>
          <w:rFonts w:ascii="Open Sans" w:hAnsi="Open Sans" w:cs="Open Sans"/>
          <w:color w:val="244061" w:themeColor="accent1" w:themeShade="80"/>
          <w:lang w:val="en-GB"/>
        </w:rPr>
      </w:pPr>
      <w:r w:rsidRPr="007C5B29">
        <w:rPr>
          <w:rFonts w:ascii="Open Sans" w:hAnsi="Open Sans" w:cs="Open Sans"/>
          <w:color w:val="244061" w:themeColor="accent1" w:themeShade="80"/>
          <w:lang w:val="en-GB"/>
        </w:rPr>
        <w:t>Exchange of experience on efficient risk prevention and management in the cross-border area</w:t>
      </w:r>
    </w:p>
    <w:p w14:paraId="55B74F83" w14:textId="75BE1736" w:rsidR="00CA3358" w:rsidRPr="007C5B29" w:rsidRDefault="00CA3358" w:rsidP="00CA3358">
      <w:pPr>
        <w:pStyle w:val="ListParagraph"/>
        <w:numPr>
          <w:ilvl w:val="0"/>
          <w:numId w:val="23"/>
        </w:numPr>
        <w:jc w:val="both"/>
        <w:rPr>
          <w:rFonts w:ascii="Open Sans" w:hAnsi="Open Sans" w:cs="Open Sans"/>
          <w:color w:val="244061" w:themeColor="accent1" w:themeShade="80"/>
          <w:lang w:val="en-GB"/>
        </w:rPr>
      </w:pPr>
      <w:r w:rsidRPr="007C5B29">
        <w:rPr>
          <w:rFonts w:ascii="Open Sans" w:hAnsi="Open Sans" w:cs="Open Sans"/>
          <w:color w:val="244061" w:themeColor="accent1" w:themeShade="80"/>
          <w:lang w:val="en-GB"/>
        </w:rPr>
        <w:t>Awareness-raising activities targeted at specific groups</w:t>
      </w:r>
    </w:p>
    <w:p w14:paraId="74724B20" w14:textId="7CE618F0" w:rsidR="00CA3358" w:rsidRPr="007C5B29" w:rsidRDefault="00CA3358" w:rsidP="00CA3358">
      <w:pPr>
        <w:pStyle w:val="ListParagraph"/>
        <w:numPr>
          <w:ilvl w:val="0"/>
          <w:numId w:val="23"/>
        </w:numPr>
        <w:jc w:val="both"/>
        <w:rPr>
          <w:rFonts w:ascii="Open Sans" w:hAnsi="Open Sans" w:cs="Open Sans"/>
          <w:color w:val="244061" w:themeColor="accent1" w:themeShade="80"/>
          <w:lang w:val="en-GB"/>
        </w:rPr>
      </w:pPr>
      <w:r w:rsidRPr="007C5B29">
        <w:rPr>
          <w:rFonts w:ascii="Open Sans" w:hAnsi="Open Sans" w:cs="Open Sans"/>
          <w:color w:val="244061" w:themeColor="accent1" w:themeShade="80"/>
          <w:lang w:val="en-GB"/>
        </w:rPr>
        <w:t>Elaboration of detailed maps and data bases indicating natural and technological risks</w:t>
      </w:r>
    </w:p>
    <w:p w14:paraId="5FB8F219" w14:textId="1E59CA99" w:rsidR="00CA3358" w:rsidRPr="007C5B29" w:rsidRDefault="00CA3358" w:rsidP="00CA3358">
      <w:pPr>
        <w:pStyle w:val="ListParagraph"/>
        <w:numPr>
          <w:ilvl w:val="0"/>
          <w:numId w:val="23"/>
        </w:numPr>
        <w:jc w:val="both"/>
        <w:rPr>
          <w:rFonts w:ascii="Open Sans" w:hAnsi="Open Sans" w:cs="Open Sans"/>
          <w:color w:val="244061" w:themeColor="accent1" w:themeShade="80"/>
          <w:lang w:val="en-GB"/>
        </w:rPr>
      </w:pPr>
      <w:r w:rsidRPr="007C5B29">
        <w:rPr>
          <w:rFonts w:ascii="Open Sans" w:hAnsi="Open Sans" w:cs="Open Sans"/>
          <w:color w:val="244061" w:themeColor="accent1" w:themeShade="80"/>
          <w:lang w:val="en-GB"/>
        </w:rPr>
        <w:t>Purchasing special vehicles, equipment and materials for public emergency response services</w:t>
      </w:r>
    </w:p>
    <w:p w14:paraId="552CA370" w14:textId="2D07C693" w:rsidR="00CA3358" w:rsidRPr="007C5B29" w:rsidRDefault="00CA3358" w:rsidP="00CA3358">
      <w:pPr>
        <w:pStyle w:val="ListParagraph"/>
        <w:numPr>
          <w:ilvl w:val="0"/>
          <w:numId w:val="23"/>
        </w:numPr>
        <w:jc w:val="both"/>
        <w:rPr>
          <w:rFonts w:ascii="Open Sans" w:hAnsi="Open Sans" w:cs="Open Sans"/>
          <w:color w:val="244061" w:themeColor="accent1" w:themeShade="80"/>
          <w:lang w:val="en-GB"/>
        </w:rPr>
      </w:pPr>
      <w:r w:rsidRPr="007C5B29">
        <w:rPr>
          <w:rFonts w:ascii="Open Sans" w:hAnsi="Open Sans" w:cs="Open Sans"/>
          <w:color w:val="244061" w:themeColor="accent1" w:themeShade="80"/>
          <w:lang w:val="en-GB"/>
        </w:rPr>
        <w:t>Purchasing equipment for measuring/monitoring environmental parameters</w:t>
      </w:r>
    </w:p>
    <w:p w14:paraId="2C86F148" w14:textId="4D7217CC" w:rsidR="00CA3358" w:rsidRPr="007C5B29" w:rsidRDefault="00CA3358" w:rsidP="00CA3358">
      <w:pPr>
        <w:pStyle w:val="ListParagraph"/>
        <w:numPr>
          <w:ilvl w:val="0"/>
          <w:numId w:val="23"/>
        </w:numPr>
        <w:jc w:val="both"/>
        <w:rPr>
          <w:rFonts w:ascii="Open Sans" w:hAnsi="Open Sans" w:cs="Open Sans"/>
          <w:color w:val="244061" w:themeColor="accent1" w:themeShade="80"/>
          <w:lang w:val="en-GB"/>
        </w:rPr>
      </w:pPr>
      <w:r w:rsidRPr="007C5B29">
        <w:rPr>
          <w:rFonts w:ascii="Open Sans" w:hAnsi="Open Sans" w:cs="Open Sans"/>
          <w:color w:val="244061" w:themeColor="accent1" w:themeShade="80"/>
          <w:lang w:val="en-GB"/>
        </w:rPr>
        <w:t>Development of common strategies, action plans on risk prevention and risk management</w:t>
      </w:r>
    </w:p>
    <w:p w14:paraId="7B7AA7F7" w14:textId="4DBFAD8F" w:rsidR="007C5B29" w:rsidRDefault="00CA3358" w:rsidP="00CA3358">
      <w:pPr>
        <w:pStyle w:val="ListParagraph"/>
        <w:numPr>
          <w:ilvl w:val="0"/>
          <w:numId w:val="23"/>
        </w:numPr>
        <w:jc w:val="both"/>
        <w:rPr>
          <w:rFonts w:ascii="Open Sans" w:hAnsi="Open Sans" w:cs="Open Sans"/>
          <w:color w:val="244061" w:themeColor="accent1" w:themeShade="80"/>
          <w:lang w:val="en-GB"/>
        </w:rPr>
      </w:pPr>
      <w:r w:rsidRPr="007C5B29">
        <w:rPr>
          <w:rFonts w:ascii="Open Sans" w:hAnsi="Open Sans" w:cs="Open Sans"/>
          <w:color w:val="244061" w:themeColor="accent1" w:themeShade="80"/>
          <w:lang w:val="en-GB"/>
        </w:rPr>
        <w:t>Establishing common rules/legislation and protocols related to risk prevention and disaster management</w:t>
      </w:r>
    </w:p>
    <w:p w14:paraId="6071FBC5" w14:textId="7CDB9855" w:rsidR="00D6139F" w:rsidRPr="007C5B29" w:rsidRDefault="00CA3358" w:rsidP="00303473">
      <w:pPr>
        <w:jc w:val="both"/>
        <w:rPr>
          <w:rFonts w:ascii="Open Sans" w:hAnsi="Open Sans" w:cs="Open Sans"/>
          <w:b/>
          <w:color w:val="244061" w:themeColor="accent1" w:themeShade="80"/>
          <w:lang w:val="en-GB"/>
        </w:rPr>
      </w:pPr>
      <w:r w:rsidRPr="007C5B29">
        <w:rPr>
          <w:rFonts w:ascii="Open Sans" w:hAnsi="Open Sans" w:cs="Open Sans"/>
          <w:color w:val="244061" w:themeColor="accent1" w:themeShade="80"/>
          <w:lang w:val="en-GB"/>
        </w:rPr>
        <w:t xml:space="preserve"> </w:t>
      </w:r>
      <w:r w:rsidR="00F66504" w:rsidRPr="007C5B29">
        <w:rPr>
          <w:rFonts w:ascii="Open Sans" w:hAnsi="Open Sans" w:cs="Open Sans"/>
          <w:b/>
          <w:color w:val="244061" w:themeColor="accent1" w:themeShade="80"/>
          <w:lang w:val="en-GB"/>
        </w:rPr>
        <w:t xml:space="preserve">When designing your project, please </w:t>
      </w:r>
      <w:r w:rsidR="009241DC" w:rsidRPr="007C5B29">
        <w:rPr>
          <w:rFonts w:ascii="Open Sans" w:hAnsi="Open Sans" w:cs="Open Sans"/>
          <w:b/>
          <w:color w:val="244061" w:themeColor="accent1" w:themeShade="80"/>
          <w:lang w:val="en-GB"/>
        </w:rPr>
        <w:t xml:space="preserve">keep in mind that any investment </w:t>
      </w:r>
      <w:r w:rsidR="001D4AC4" w:rsidRPr="007C5B29">
        <w:rPr>
          <w:rFonts w:ascii="Open Sans" w:hAnsi="Open Sans" w:cs="Open Sans"/>
          <w:b/>
          <w:color w:val="244061" w:themeColor="accent1" w:themeShade="80"/>
          <w:lang w:val="en-GB"/>
        </w:rPr>
        <w:t>in</w:t>
      </w:r>
      <w:r w:rsidR="0073262A" w:rsidRPr="007C5B29">
        <w:rPr>
          <w:rFonts w:ascii="Open Sans" w:hAnsi="Open Sans" w:cs="Open Sans"/>
          <w:b/>
          <w:color w:val="244061" w:themeColor="accent1" w:themeShade="80"/>
          <w:lang w:val="en-GB"/>
        </w:rPr>
        <w:t xml:space="preserve"> risk prevention and disaster management </w:t>
      </w:r>
      <w:r w:rsidR="001D4AC4" w:rsidRPr="007C5B29">
        <w:rPr>
          <w:rFonts w:ascii="Open Sans" w:hAnsi="Open Sans" w:cs="Open Sans"/>
          <w:b/>
          <w:color w:val="244061" w:themeColor="accent1" w:themeShade="80"/>
          <w:lang w:val="en-GB"/>
        </w:rPr>
        <w:t>should aim at</w:t>
      </w:r>
      <w:r w:rsidR="00D6139F" w:rsidRPr="007C5B29">
        <w:rPr>
          <w:rFonts w:ascii="Open Sans" w:hAnsi="Open Sans" w:cs="Open Sans"/>
          <w:b/>
          <w:color w:val="244061" w:themeColor="accent1" w:themeShade="80"/>
          <w:lang w:val="en-GB"/>
        </w:rPr>
        <w:t>:</w:t>
      </w:r>
    </w:p>
    <w:p w14:paraId="6D84BA25" w14:textId="5B62A4B8" w:rsidR="00F66504" w:rsidRPr="007C5B29" w:rsidRDefault="0004644D" w:rsidP="002B6BE4">
      <w:pPr>
        <w:numPr>
          <w:ilvl w:val="1"/>
          <w:numId w:val="58"/>
        </w:numPr>
        <w:tabs>
          <w:tab w:val="left" w:pos="1530"/>
        </w:tabs>
        <w:spacing w:after="0" w:line="23" w:lineRule="atLeast"/>
        <w:ind w:left="720" w:hanging="720"/>
        <w:jc w:val="both"/>
        <w:rPr>
          <w:rFonts w:ascii="Open Sans" w:hAnsi="Open Sans" w:cs="Open Sans"/>
          <w:b/>
          <w:color w:val="244061" w:themeColor="accent1" w:themeShade="80"/>
          <w:lang w:val="en-GB"/>
        </w:rPr>
      </w:pPr>
      <w:r w:rsidRPr="007C5B29">
        <w:rPr>
          <w:rFonts w:ascii="Open Sans" w:hAnsi="Open Sans" w:cs="Open Sans"/>
          <w:b/>
          <w:color w:val="244061" w:themeColor="accent1" w:themeShade="80"/>
          <w:lang w:val="en-GB"/>
        </w:rPr>
        <w:t>emergency response actions jointly handled</w:t>
      </w:r>
      <w:r w:rsidR="00F66504" w:rsidRPr="007C5B29">
        <w:rPr>
          <w:rFonts w:ascii="Open Sans" w:hAnsi="Open Sans" w:cs="Open Sans"/>
          <w:b/>
          <w:color w:val="244061" w:themeColor="accent1" w:themeShade="80"/>
          <w:lang w:val="en-GB"/>
        </w:rPr>
        <w:t xml:space="preserve">, </w:t>
      </w:r>
      <w:r w:rsidRPr="007C5B29">
        <w:rPr>
          <w:rFonts w:ascii="Open Sans" w:hAnsi="Open Sans" w:cs="Open Sans"/>
          <w:b/>
          <w:color w:val="244061" w:themeColor="accent1" w:themeShade="80"/>
          <w:lang w:val="en-GB"/>
        </w:rPr>
        <w:t>for possible immediate intervention from the other side of the border,</w:t>
      </w:r>
    </w:p>
    <w:p w14:paraId="5D7E8FE1" w14:textId="6CE6669A" w:rsidR="0004644D" w:rsidRPr="007C5B29" w:rsidRDefault="00FD0A60" w:rsidP="002B6BE4">
      <w:pPr>
        <w:numPr>
          <w:ilvl w:val="1"/>
          <w:numId w:val="58"/>
        </w:numPr>
        <w:tabs>
          <w:tab w:val="left" w:pos="1530"/>
        </w:tabs>
        <w:spacing w:after="0" w:line="23" w:lineRule="atLeast"/>
        <w:ind w:left="720" w:hanging="720"/>
        <w:jc w:val="both"/>
        <w:rPr>
          <w:rFonts w:ascii="Open Sans" w:hAnsi="Open Sans" w:cs="Open Sans"/>
          <w:b/>
          <w:color w:val="244061" w:themeColor="accent1" w:themeShade="80"/>
          <w:lang w:val="en-GB"/>
        </w:rPr>
      </w:pPr>
      <w:r w:rsidRPr="007C5B29">
        <w:rPr>
          <w:rFonts w:ascii="Open Sans" w:hAnsi="Open Sans" w:cs="Open Sans"/>
          <w:b/>
          <w:color w:val="244061" w:themeColor="accent1" w:themeShade="80"/>
          <w:lang w:val="en-GB"/>
        </w:rPr>
        <w:t>eliminating key obstacles for joint actions,</w:t>
      </w:r>
    </w:p>
    <w:p w14:paraId="57413C91" w14:textId="31684E24" w:rsidR="00FD0A60" w:rsidRPr="007C5B29" w:rsidRDefault="00FD0A60" w:rsidP="002B6BE4">
      <w:pPr>
        <w:numPr>
          <w:ilvl w:val="1"/>
          <w:numId w:val="58"/>
        </w:numPr>
        <w:tabs>
          <w:tab w:val="left" w:pos="1530"/>
        </w:tabs>
        <w:spacing w:after="0" w:line="23" w:lineRule="atLeast"/>
        <w:ind w:left="720" w:hanging="720"/>
        <w:jc w:val="both"/>
        <w:rPr>
          <w:rFonts w:ascii="Open Sans" w:hAnsi="Open Sans" w:cs="Open Sans"/>
          <w:b/>
          <w:color w:val="244061" w:themeColor="accent1" w:themeShade="80"/>
          <w:lang w:val="en-GB"/>
        </w:rPr>
      </w:pPr>
      <w:r w:rsidRPr="007C5B29">
        <w:rPr>
          <w:rFonts w:ascii="Open Sans" w:hAnsi="Open Sans" w:cs="Open Sans"/>
          <w:b/>
          <w:color w:val="244061" w:themeColor="accent1" w:themeShade="80"/>
          <w:lang w:val="en-GB"/>
        </w:rPr>
        <w:t>implementing joint protocols,</w:t>
      </w:r>
    </w:p>
    <w:p w14:paraId="64BAFEFF" w14:textId="2750CF4F" w:rsidR="00FD0A60" w:rsidRPr="007C5B29" w:rsidRDefault="00FD0A60" w:rsidP="00F11092">
      <w:pPr>
        <w:numPr>
          <w:ilvl w:val="1"/>
          <w:numId w:val="58"/>
        </w:numPr>
        <w:tabs>
          <w:tab w:val="left" w:pos="1530"/>
        </w:tabs>
        <w:spacing w:after="0" w:line="23" w:lineRule="atLeast"/>
        <w:ind w:left="720" w:hanging="720"/>
        <w:jc w:val="both"/>
        <w:rPr>
          <w:rFonts w:ascii="Open Sans" w:hAnsi="Open Sans" w:cs="Open Sans"/>
          <w:b/>
          <w:color w:val="244061" w:themeColor="accent1" w:themeShade="80"/>
          <w:lang w:val="en-GB"/>
        </w:rPr>
      </w:pPr>
      <w:r w:rsidRPr="007C5B29">
        <w:rPr>
          <w:rFonts w:ascii="Open Sans" w:hAnsi="Open Sans" w:cs="Open Sans"/>
          <w:b/>
          <w:color w:val="244061" w:themeColor="accent1" w:themeShade="80"/>
          <w:lang w:val="en-GB"/>
        </w:rPr>
        <w:lastRenderedPageBreak/>
        <w:t>reduced emergency response time, contributing to the elimination of high risk factors,</w:t>
      </w:r>
    </w:p>
    <w:p w14:paraId="1B19D9AD" w14:textId="0B76A0D8" w:rsidR="00FD0A60" w:rsidRPr="006748D1" w:rsidRDefault="00FD0A60" w:rsidP="00F11092">
      <w:pPr>
        <w:numPr>
          <w:ilvl w:val="1"/>
          <w:numId w:val="58"/>
        </w:numPr>
        <w:tabs>
          <w:tab w:val="left" w:pos="1530"/>
        </w:tabs>
        <w:spacing w:after="0" w:line="23" w:lineRule="atLeast"/>
        <w:ind w:left="720" w:hanging="720"/>
        <w:jc w:val="both"/>
        <w:rPr>
          <w:rFonts w:ascii="Open Sans" w:hAnsi="Open Sans" w:cs="Open Sans"/>
          <w:b/>
          <w:color w:val="244061" w:themeColor="accent1" w:themeShade="80"/>
          <w:lang w:val="en-GB"/>
        </w:rPr>
      </w:pPr>
      <w:proofErr w:type="gramStart"/>
      <w:r w:rsidRPr="007C5B29">
        <w:rPr>
          <w:rFonts w:ascii="Open Sans" w:hAnsi="Open Sans" w:cs="Open Sans"/>
          <w:b/>
          <w:color w:val="244061" w:themeColor="accent1" w:themeShade="80"/>
          <w:lang w:val="en-GB"/>
        </w:rPr>
        <w:t>rapid</w:t>
      </w:r>
      <w:proofErr w:type="gramEnd"/>
      <w:r w:rsidRPr="007C5B29">
        <w:rPr>
          <w:rFonts w:ascii="Open Sans" w:hAnsi="Open Sans" w:cs="Open Sans"/>
          <w:b/>
          <w:color w:val="244061" w:themeColor="accent1" w:themeShade="80"/>
          <w:lang w:val="en-GB"/>
        </w:rPr>
        <w:t xml:space="preserve"> reaction in case of emergency situations.</w:t>
      </w:r>
    </w:p>
    <w:p w14:paraId="7F981636" w14:textId="615DC83F" w:rsidR="00F66504" w:rsidRPr="007C5B29" w:rsidRDefault="00F66504" w:rsidP="006748D1">
      <w:pPr>
        <w:spacing w:before="120" w:after="120"/>
        <w:jc w:val="both"/>
        <w:rPr>
          <w:rFonts w:ascii="Open Sans" w:hAnsi="Open Sans" w:cs="Open Sans"/>
          <w:b/>
          <w:color w:val="244061" w:themeColor="accent1" w:themeShade="80"/>
          <w:lang w:val="en-GB"/>
        </w:rPr>
      </w:pPr>
      <w:r w:rsidRPr="007C5B29">
        <w:rPr>
          <w:rFonts w:ascii="Open Sans" w:hAnsi="Open Sans" w:cs="Open Sans"/>
          <w:b/>
          <w:color w:val="244061" w:themeColor="accent1" w:themeShade="80"/>
          <w:lang w:val="en-GB"/>
        </w:rPr>
        <w:t xml:space="preserve">The scope of the project and the related activities will have to ensure the </w:t>
      </w:r>
      <w:r w:rsidR="003A31C0" w:rsidRPr="007C5B29">
        <w:rPr>
          <w:rFonts w:ascii="Open Sans" w:hAnsi="Open Sans" w:cs="Open Sans"/>
          <w:b/>
          <w:color w:val="244061" w:themeColor="accent1" w:themeShade="80"/>
          <w:lang w:val="en-GB"/>
        </w:rPr>
        <w:t>fulfilment</w:t>
      </w:r>
      <w:r w:rsidRPr="007C5B29">
        <w:rPr>
          <w:rFonts w:ascii="Open Sans" w:hAnsi="Open Sans" w:cs="Open Sans"/>
          <w:b/>
          <w:color w:val="244061" w:themeColor="accent1" w:themeShade="80"/>
          <w:lang w:val="en-GB"/>
        </w:rPr>
        <w:t xml:space="preserve"> of the program</w:t>
      </w:r>
      <w:r w:rsidR="009634AF" w:rsidRPr="007C5B29">
        <w:rPr>
          <w:rFonts w:ascii="Open Sans" w:hAnsi="Open Sans" w:cs="Open Sans"/>
          <w:b/>
          <w:color w:val="244061" w:themeColor="accent1" w:themeShade="80"/>
          <w:lang w:val="en-GB"/>
        </w:rPr>
        <w:t>me</w:t>
      </w:r>
      <w:r w:rsidRPr="007C5B29">
        <w:rPr>
          <w:rFonts w:ascii="Open Sans" w:hAnsi="Open Sans" w:cs="Open Sans"/>
          <w:b/>
          <w:color w:val="244061" w:themeColor="accent1" w:themeShade="80"/>
          <w:lang w:val="en-GB"/>
        </w:rPr>
        <w:t xml:space="preserve">’s specific objective related to the </w:t>
      </w:r>
      <w:r w:rsidR="00995949" w:rsidRPr="00995949">
        <w:rPr>
          <w:rFonts w:ascii="Open Sans" w:hAnsi="Open Sans" w:cs="Open Sans"/>
          <w:b/>
          <w:color w:val="244061" w:themeColor="accent1" w:themeShade="80"/>
          <w:lang w:val="en-GB"/>
        </w:rPr>
        <w:t>“</w:t>
      </w:r>
      <w:r w:rsidR="008672E4" w:rsidRPr="00995949">
        <w:rPr>
          <w:rFonts w:ascii="Open Sans" w:hAnsi="Open Sans" w:cs="Open Sans"/>
          <w:b/>
          <w:color w:val="244061" w:themeColor="accent1" w:themeShade="80"/>
          <w:lang w:val="en-GB"/>
        </w:rPr>
        <w:t>Improved cross-border disasters and risk management</w:t>
      </w:r>
      <w:r w:rsidR="00995949" w:rsidRPr="00995949">
        <w:rPr>
          <w:rFonts w:ascii="Open Sans" w:hAnsi="Open Sans" w:cs="Open Sans"/>
          <w:b/>
          <w:color w:val="244061" w:themeColor="accent1" w:themeShade="80"/>
          <w:lang w:val="en-GB"/>
        </w:rPr>
        <w:t>”</w:t>
      </w:r>
      <w:r w:rsidRPr="00995949">
        <w:rPr>
          <w:rFonts w:ascii="Open Sans" w:hAnsi="Open Sans" w:cs="Open Sans"/>
          <w:b/>
          <w:color w:val="244061" w:themeColor="accent1" w:themeShade="80"/>
          <w:lang w:val="en-GB"/>
        </w:rPr>
        <w:t>,</w:t>
      </w:r>
      <w:r w:rsidRPr="007C5B29">
        <w:rPr>
          <w:rFonts w:ascii="Open Sans" w:hAnsi="Open Sans" w:cs="Open Sans"/>
          <w:b/>
          <w:color w:val="244061" w:themeColor="accent1" w:themeShade="80"/>
          <w:lang w:val="en-GB"/>
        </w:rPr>
        <w:t xml:space="preserve"> </w:t>
      </w:r>
      <w:r w:rsidR="00252447" w:rsidRPr="007C5B29">
        <w:rPr>
          <w:rFonts w:ascii="Open Sans" w:hAnsi="Open Sans" w:cs="Open Sans"/>
          <w:b/>
          <w:color w:val="244061" w:themeColor="accent1" w:themeShade="80"/>
          <w:lang w:val="en-GB"/>
        </w:rPr>
        <w:t xml:space="preserve">and as a result, the number of people benefiting from joint emergency response system will increase and the emergency situations in the border area will be addressed more effectively. </w:t>
      </w:r>
    </w:p>
    <w:p w14:paraId="0D725350" w14:textId="2260AB6D" w:rsidR="00D601AC" w:rsidRPr="007C5B29" w:rsidRDefault="003C427A" w:rsidP="00C50B2A">
      <w:pPr>
        <w:shd w:val="clear" w:color="auto" w:fill="FF0000"/>
        <w:jc w:val="both"/>
        <w:rPr>
          <w:rFonts w:ascii="Open Sans" w:hAnsi="Open Sans" w:cs="Open Sans"/>
          <w:b/>
          <w:color w:val="244061" w:themeColor="accent1" w:themeShade="80"/>
          <w:lang w:val="en-GB"/>
        </w:rPr>
      </w:pPr>
      <w:r w:rsidRPr="007C5B29">
        <w:rPr>
          <w:rFonts w:ascii="Open Sans" w:hAnsi="Open Sans" w:cs="Open Sans"/>
          <w:b/>
          <w:color w:val="244061" w:themeColor="accent1" w:themeShade="80"/>
          <w:sz w:val="72"/>
          <w:szCs w:val="72"/>
          <w:lang w:val="en-GB"/>
        </w:rPr>
        <w:sym w:font="Wingdings" w:char="F04A"/>
      </w:r>
      <w:r w:rsidR="00E74021" w:rsidRPr="007C5B29">
        <w:rPr>
          <w:rFonts w:ascii="Open Sans" w:hAnsi="Open Sans" w:cs="Open Sans"/>
          <w:b/>
          <w:color w:val="244061" w:themeColor="accent1" w:themeShade="80"/>
          <w:lang w:val="en-GB"/>
        </w:rPr>
        <w:t xml:space="preserve">The </w:t>
      </w:r>
      <w:proofErr w:type="gramStart"/>
      <w:r w:rsidR="00D601AC" w:rsidRPr="007C5B29">
        <w:rPr>
          <w:rFonts w:ascii="Open Sans" w:hAnsi="Open Sans" w:cs="Open Sans"/>
          <w:b/>
          <w:color w:val="244061" w:themeColor="accent1" w:themeShade="80"/>
          <w:lang w:val="en-GB"/>
        </w:rPr>
        <w:t>list of potential beneficiaries include</w:t>
      </w:r>
      <w:proofErr w:type="gramEnd"/>
      <w:r w:rsidR="00D601AC" w:rsidRPr="007C5B29">
        <w:rPr>
          <w:rFonts w:ascii="Open Sans" w:hAnsi="Open Sans" w:cs="Open Sans"/>
          <w:b/>
          <w:color w:val="244061" w:themeColor="accent1" w:themeShade="80"/>
          <w:lang w:val="en-GB"/>
        </w:rPr>
        <w:t>:</w:t>
      </w:r>
    </w:p>
    <w:p w14:paraId="3DAC6C66" w14:textId="77777777" w:rsidR="00004E06" w:rsidRPr="007C5B29" w:rsidRDefault="00004E06" w:rsidP="00004E06">
      <w:pPr>
        <w:pStyle w:val="ListParagraph"/>
        <w:numPr>
          <w:ilvl w:val="0"/>
          <w:numId w:val="24"/>
        </w:numPr>
        <w:jc w:val="both"/>
        <w:rPr>
          <w:rFonts w:ascii="Open Sans" w:hAnsi="Open Sans" w:cs="Open Sans"/>
          <w:color w:val="244061" w:themeColor="accent1" w:themeShade="80"/>
          <w:lang w:val="en-GB"/>
        </w:rPr>
      </w:pPr>
      <w:r w:rsidRPr="007C5B29">
        <w:rPr>
          <w:rFonts w:ascii="Open Sans" w:hAnsi="Open Sans" w:cs="Open Sans"/>
          <w:color w:val="244061" w:themeColor="accent1" w:themeShade="80"/>
          <w:lang w:val="en-GB"/>
        </w:rPr>
        <w:t>Local and county governments / administrations and their institutions</w:t>
      </w:r>
    </w:p>
    <w:p w14:paraId="1AC75C33" w14:textId="1363C11D" w:rsidR="00004E06" w:rsidRPr="007C5B29" w:rsidRDefault="00004E06" w:rsidP="00004E06">
      <w:pPr>
        <w:pStyle w:val="ListParagraph"/>
        <w:numPr>
          <w:ilvl w:val="0"/>
          <w:numId w:val="24"/>
        </w:numPr>
        <w:jc w:val="both"/>
        <w:rPr>
          <w:rFonts w:ascii="Open Sans" w:hAnsi="Open Sans" w:cs="Open Sans"/>
          <w:color w:val="244061" w:themeColor="accent1" w:themeShade="80"/>
          <w:lang w:val="en-GB"/>
        </w:rPr>
      </w:pPr>
      <w:r w:rsidRPr="007C5B29">
        <w:rPr>
          <w:rFonts w:ascii="Open Sans" w:hAnsi="Open Sans" w:cs="Open Sans"/>
          <w:color w:val="244061" w:themeColor="accent1" w:themeShade="80"/>
          <w:lang w:val="en-GB"/>
        </w:rPr>
        <w:t>Disaster management and emergency response organizations</w:t>
      </w:r>
    </w:p>
    <w:p w14:paraId="6D28CD84" w14:textId="11E7D8F4" w:rsidR="00004E06" w:rsidRPr="007C5B29" w:rsidRDefault="00004E06" w:rsidP="00004E06">
      <w:pPr>
        <w:pStyle w:val="ListParagraph"/>
        <w:numPr>
          <w:ilvl w:val="0"/>
          <w:numId w:val="24"/>
        </w:numPr>
        <w:jc w:val="both"/>
        <w:rPr>
          <w:rFonts w:ascii="Open Sans" w:hAnsi="Open Sans" w:cs="Open Sans"/>
          <w:color w:val="244061" w:themeColor="accent1" w:themeShade="80"/>
          <w:lang w:val="en-GB"/>
        </w:rPr>
      </w:pPr>
      <w:r w:rsidRPr="007C5B29">
        <w:rPr>
          <w:rFonts w:ascii="Open Sans" w:hAnsi="Open Sans" w:cs="Open Sans"/>
          <w:color w:val="244061" w:themeColor="accent1" w:themeShade="80"/>
          <w:lang w:val="en-GB"/>
        </w:rPr>
        <w:t>Fire services</w:t>
      </w:r>
    </w:p>
    <w:p w14:paraId="51613B9C" w14:textId="2A1AB1FD" w:rsidR="00004E06" w:rsidRPr="007C5B29" w:rsidRDefault="00004E06" w:rsidP="00004E06">
      <w:pPr>
        <w:pStyle w:val="ListParagraph"/>
        <w:numPr>
          <w:ilvl w:val="0"/>
          <w:numId w:val="24"/>
        </w:numPr>
        <w:jc w:val="both"/>
        <w:rPr>
          <w:rFonts w:ascii="Open Sans" w:hAnsi="Open Sans" w:cs="Open Sans"/>
          <w:color w:val="244061" w:themeColor="accent1" w:themeShade="80"/>
          <w:lang w:val="en-GB"/>
        </w:rPr>
      </w:pPr>
      <w:r w:rsidRPr="007C5B29">
        <w:rPr>
          <w:rFonts w:ascii="Open Sans" w:hAnsi="Open Sans" w:cs="Open Sans"/>
          <w:color w:val="244061" w:themeColor="accent1" w:themeShade="80"/>
          <w:lang w:val="en-GB"/>
        </w:rPr>
        <w:t>Ambulance services</w:t>
      </w:r>
    </w:p>
    <w:p w14:paraId="1A38B6DA" w14:textId="0F5A784F" w:rsidR="00004E06" w:rsidRPr="007C5B29" w:rsidRDefault="00004E06" w:rsidP="00004E06">
      <w:pPr>
        <w:pStyle w:val="ListParagraph"/>
        <w:numPr>
          <w:ilvl w:val="0"/>
          <w:numId w:val="24"/>
        </w:numPr>
        <w:jc w:val="both"/>
        <w:rPr>
          <w:rFonts w:ascii="Open Sans" w:hAnsi="Open Sans" w:cs="Open Sans"/>
          <w:color w:val="244061" w:themeColor="accent1" w:themeShade="80"/>
          <w:lang w:val="en-GB"/>
        </w:rPr>
      </w:pPr>
      <w:r w:rsidRPr="007C5B29">
        <w:rPr>
          <w:rFonts w:ascii="Open Sans" w:hAnsi="Open Sans" w:cs="Open Sans"/>
          <w:color w:val="244061" w:themeColor="accent1" w:themeShade="80"/>
          <w:lang w:val="en-GB"/>
        </w:rPr>
        <w:t>Police</w:t>
      </w:r>
    </w:p>
    <w:p w14:paraId="0CCB813F" w14:textId="12B1259C" w:rsidR="00004E06" w:rsidRPr="007C5B29" w:rsidRDefault="00004E06" w:rsidP="00004E06">
      <w:pPr>
        <w:pStyle w:val="ListParagraph"/>
        <w:numPr>
          <w:ilvl w:val="0"/>
          <w:numId w:val="24"/>
        </w:numPr>
        <w:jc w:val="both"/>
        <w:rPr>
          <w:rFonts w:ascii="Open Sans" w:hAnsi="Open Sans" w:cs="Open Sans"/>
          <w:color w:val="244061" w:themeColor="accent1" w:themeShade="80"/>
          <w:lang w:val="en-GB"/>
        </w:rPr>
      </w:pPr>
      <w:r w:rsidRPr="007C5B29">
        <w:rPr>
          <w:rFonts w:ascii="Open Sans" w:hAnsi="Open Sans" w:cs="Open Sans"/>
          <w:color w:val="244061" w:themeColor="accent1" w:themeShade="80"/>
          <w:lang w:val="en-GB"/>
        </w:rPr>
        <w:t>Non-governmental, non-profit organisation</w:t>
      </w:r>
    </w:p>
    <w:p w14:paraId="7629FC44" w14:textId="41770068" w:rsidR="00004E06" w:rsidRPr="007C5B29" w:rsidRDefault="00004E06" w:rsidP="00004E06">
      <w:pPr>
        <w:pStyle w:val="ListParagraph"/>
        <w:numPr>
          <w:ilvl w:val="0"/>
          <w:numId w:val="24"/>
        </w:numPr>
        <w:jc w:val="both"/>
        <w:rPr>
          <w:rFonts w:ascii="Open Sans" w:hAnsi="Open Sans" w:cs="Open Sans"/>
          <w:color w:val="244061" w:themeColor="accent1" w:themeShade="80"/>
          <w:lang w:val="en-GB"/>
        </w:rPr>
      </w:pPr>
      <w:r w:rsidRPr="007C5B29">
        <w:rPr>
          <w:rFonts w:ascii="Open Sans" w:hAnsi="Open Sans" w:cs="Open Sans"/>
          <w:color w:val="244061" w:themeColor="accent1" w:themeShade="80"/>
          <w:lang w:val="en-GB"/>
        </w:rPr>
        <w:t xml:space="preserve">Management organisations of </w:t>
      </w:r>
      <w:proofErr w:type="spellStart"/>
      <w:r w:rsidRPr="007C5B29">
        <w:rPr>
          <w:rFonts w:ascii="Open Sans" w:hAnsi="Open Sans" w:cs="Open Sans"/>
          <w:color w:val="244061" w:themeColor="accent1" w:themeShade="80"/>
          <w:lang w:val="en-GB"/>
        </w:rPr>
        <w:t>Euroregions</w:t>
      </w:r>
      <w:proofErr w:type="spellEnd"/>
    </w:p>
    <w:p w14:paraId="43BFA740" w14:textId="19CD2C1D" w:rsidR="00004E06" w:rsidRPr="007C5B29" w:rsidRDefault="00004E06" w:rsidP="00004E06">
      <w:pPr>
        <w:pStyle w:val="ListParagraph"/>
        <w:numPr>
          <w:ilvl w:val="0"/>
          <w:numId w:val="24"/>
        </w:numPr>
        <w:jc w:val="both"/>
        <w:rPr>
          <w:rFonts w:ascii="Open Sans" w:hAnsi="Open Sans" w:cs="Open Sans"/>
          <w:color w:val="244061" w:themeColor="accent1" w:themeShade="80"/>
          <w:lang w:val="en-GB"/>
        </w:rPr>
      </w:pPr>
      <w:r w:rsidRPr="007C5B29">
        <w:rPr>
          <w:rFonts w:ascii="Open Sans" w:hAnsi="Open Sans" w:cs="Open Sans"/>
          <w:color w:val="244061" w:themeColor="accent1" w:themeShade="80"/>
          <w:lang w:val="en-GB"/>
        </w:rPr>
        <w:t>EGTC</w:t>
      </w:r>
    </w:p>
    <w:p w14:paraId="2A80277B" w14:textId="0F35F713" w:rsidR="00004E06" w:rsidRPr="007C5B29" w:rsidRDefault="00004E06" w:rsidP="00004E06">
      <w:pPr>
        <w:pStyle w:val="ListParagraph"/>
        <w:numPr>
          <w:ilvl w:val="0"/>
          <w:numId w:val="24"/>
        </w:numPr>
        <w:jc w:val="both"/>
        <w:rPr>
          <w:rFonts w:ascii="Open Sans" w:hAnsi="Open Sans" w:cs="Open Sans"/>
          <w:color w:val="244061" w:themeColor="accent1" w:themeShade="80"/>
          <w:lang w:val="en-GB"/>
        </w:rPr>
      </w:pPr>
      <w:r w:rsidRPr="007C5B29">
        <w:rPr>
          <w:rFonts w:ascii="Open Sans" w:hAnsi="Open Sans" w:cs="Open Sans"/>
          <w:color w:val="244061" w:themeColor="accent1" w:themeShade="80"/>
          <w:lang w:val="en-GB"/>
        </w:rPr>
        <w:t>Environmental protection agencies (under subordination, coordination or authority of the Ministry of Environment, Waters and Forests, in</w:t>
      </w:r>
    </w:p>
    <w:p w14:paraId="11775C5F" w14:textId="77777777" w:rsidR="00004E06" w:rsidRPr="007C5B29" w:rsidRDefault="00004E06" w:rsidP="00004E06">
      <w:pPr>
        <w:pStyle w:val="ListParagraph"/>
        <w:numPr>
          <w:ilvl w:val="0"/>
          <w:numId w:val="24"/>
        </w:numPr>
        <w:jc w:val="both"/>
        <w:rPr>
          <w:rFonts w:ascii="Open Sans" w:hAnsi="Open Sans" w:cs="Open Sans"/>
          <w:color w:val="244061" w:themeColor="accent1" w:themeShade="80"/>
          <w:lang w:val="en-GB"/>
        </w:rPr>
      </w:pPr>
      <w:r w:rsidRPr="007C5B29">
        <w:rPr>
          <w:rFonts w:ascii="Open Sans" w:hAnsi="Open Sans" w:cs="Open Sans"/>
          <w:color w:val="244061" w:themeColor="accent1" w:themeShade="80"/>
          <w:lang w:val="en-GB"/>
        </w:rPr>
        <w:t>Romania)</w:t>
      </w:r>
    </w:p>
    <w:p w14:paraId="2B1F7551" w14:textId="114ECB18" w:rsidR="00004E06" w:rsidRPr="007C5B29" w:rsidRDefault="00004E06" w:rsidP="00004E06">
      <w:pPr>
        <w:pStyle w:val="ListParagraph"/>
        <w:numPr>
          <w:ilvl w:val="0"/>
          <w:numId w:val="24"/>
        </w:numPr>
        <w:jc w:val="both"/>
        <w:rPr>
          <w:rFonts w:ascii="Open Sans" w:hAnsi="Open Sans" w:cs="Open Sans"/>
          <w:color w:val="244061" w:themeColor="accent1" w:themeShade="80"/>
          <w:lang w:val="en-GB"/>
        </w:rPr>
      </w:pPr>
      <w:r w:rsidRPr="007C5B29">
        <w:rPr>
          <w:rFonts w:ascii="Open Sans" w:hAnsi="Open Sans" w:cs="Open Sans"/>
          <w:color w:val="244061" w:themeColor="accent1" w:themeShade="80"/>
          <w:lang w:val="en-GB"/>
        </w:rPr>
        <w:t>Governmental offices located in the counties, in Hungary</w:t>
      </w:r>
    </w:p>
    <w:p w14:paraId="35F09427" w14:textId="78368250" w:rsidR="00004E06" w:rsidRPr="007C5B29" w:rsidRDefault="00004E06" w:rsidP="00004E06">
      <w:pPr>
        <w:pStyle w:val="ListParagraph"/>
        <w:numPr>
          <w:ilvl w:val="0"/>
          <w:numId w:val="24"/>
        </w:numPr>
        <w:jc w:val="both"/>
        <w:rPr>
          <w:rFonts w:ascii="Open Sans" w:hAnsi="Open Sans" w:cs="Open Sans"/>
          <w:color w:val="244061" w:themeColor="accent1" w:themeShade="80"/>
          <w:lang w:val="en-GB"/>
        </w:rPr>
      </w:pPr>
      <w:r w:rsidRPr="007C5B29">
        <w:rPr>
          <w:rFonts w:ascii="Open Sans" w:hAnsi="Open Sans" w:cs="Open Sans"/>
          <w:color w:val="244061" w:themeColor="accent1" w:themeShade="80"/>
          <w:lang w:val="en-GB"/>
        </w:rPr>
        <w:t xml:space="preserve">Water management authorities </w:t>
      </w:r>
    </w:p>
    <w:p w14:paraId="7C1E1F77" w14:textId="27693C3F" w:rsidR="003E557E" w:rsidRPr="007C5B29" w:rsidRDefault="00E81811" w:rsidP="00C50B2A">
      <w:pPr>
        <w:shd w:val="clear" w:color="auto" w:fill="FF0000"/>
        <w:rPr>
          <w:rFonts w:ascii="Open Sans" w:hAnsi="Open Sans" w:cs="Open Sans"/>
          <w:b/>
          <w:color w:val="244061" w:themeColor="accent1" w:themeShade="80"/>
          <w:lang w:val="en-GB"/>
        </w:rPr>
      </w:pPr>
      <w:r w:rsidRPr="007C5B29">
        <w:rPr>
          <w:rFonts w:ascii="Arial" w:hAnsi="Arial" w:cs="Arial"/>
          <w:b/>
          <w:color w:val="244061" w:themeColor="accent1" w:themeShade="80"/>
          <w:sz w:val="72"/>
          <w:szCs w:val="72"/>
          <w:lang w:val="en-GB"/>
        </w:rPr>
        <w:t>ʘ</w:t>
      </w:r>
      <w:r w:rsidRPr="007C5B29">
        <w:rPr>
          <w:rFonts w:ascii="Open Sans" w:hAnsi="Open Sans" w:cs="Open Sans"/>
          <w:b/>
          <w:color w:val="244061" w:themeColor="accent1" w:themeShade="80"/>
          <w:sz w:val="72"/>
          <w:szCs w:val="72"/>
          <w:lang w:val="en-GB"/>
        </w:rPr>
        <w:t xml:space="preserve"> </w:t>
      </w:r>
      <w:r w:rsidR="003E557E" w:rsidRPr="007C5B29">
        <w:rPr>
          <w:rFonts w:ascii="Open Sans" w:hAnsi="Open Sans" w:cs="Open Sans"/>
          <w:b/>
          <w:color w:val="244061" w:themeColor="accent1" w:themeShade="80"/>
          <w:lang w:val="en-GB"/>
        </w:rPr>
        <w:t xml:space="preserve">Target groups: </w:t>
      </w:r>
    </w:p>
    <w:p w14:paraId="5FA93793" w14:textId="4BC7CB37" w:rsidR="00E26023" w:rsidRDefault="003E557E" w:rsidP="00E81811">
      <w:pPr>
        <w:rPr>
          <w:rFonts w:ascii="Open Sans" w:hAnsi="Open Sans" w:cs="Open Sans"/>
          <w:color w:val="244061" w:themeColor="accent1" w:themeShade="80"/>
          <w:lang w:val="en-GB"/>
        </w:rPr>
      </w:pPr>
      <w:r w:rsidRPr="007C5B29">
        <w:rPr>
          <w:rFonts w:ascii="Open Sans" w:hAnsi="Open Sans" w:cs="Open Sans"/>
          <w:color w:val="244061" w:themeColor="accent1" w:themeShade="80"/>
          <w:lang w:val="en-GB"/>
        </w:rPr>
        <w:t xml:space="preserve">People living </w:t>
      </w:r>
      <w:r w:rsidR="00627341" w:rsidRPr="007C5B29">
        <w:rPr>
          <w:rFonts w:ascii="Open Sans" w:hAnsi="Open Sans" w:cs="Open Sans"/>
          <w:color w:val="244061" w:themeColor="accent1" w:themeShade="80"/>
          <w:lang w:val="en-GB"/>
        </w:rPr>
        <w:t>in the eligible area</w:t>
      </w:r>
    </w:p>
    <w:p w14:paraId="4452CF8E" w14:textId="24B16C03" w:rsidR="008D2A54" w:rsidRPr="007C5B29" w:rsidRDefault="007F43EC" w:rsidP="00C50B2A">
      <w:pPr>
        <w:shd w:val="clear" w:color="auto" w:fill="FF0000"/>
        <w:jc w:val="both"/>
        <w:rPr>
          <w:rFonts w:ascii="Open Sans" w:hAnsi="Open Sans" w:cs="Open Sans"/>
          <w:b/>
          <w:color w:val="244061" w:themeColor="accent1" w:themeShade="80"/>
          <w:sz w:val="24"/>
          <w:szCs w:val="24"/>
          <w:lang w:val="en-GB"/>
        </w:rPr>
      </w:pPr>
      <w:r w:rsidRPr="007C5B29">
        <w:rPr>
          <w:rFonts w:ascii="Open Sans" w:hAnsi="Open Sans" w:cs="Open Sans"/>
          <w:b/>
          <w:color w:val="244061" w:themeColor="accent1" w:themeShade="80"/>
          <w:sz w:val="72"/>
          <w:szCs w:val="72"/>
          <w:lang w:val="en-GB"/>
        </w:rPr>
        <w:sym w:font="Wingdings" w:char="F03A"/>
      </w:r>
      <w:r w:rsidR="008D2A54" w:rsidRPr="007C5B29">
        <w:rPr>
          <w:rFonts w:ascii="Open Sans" w:hAnsi="Open Sans" w:cs="Open Sans"/>
          <w:b/>
          <w:color w:val="244061" w:themeColor="accent1" w:themeShade="80"/>
          <w:sz w:val="24"/>
          <w:szCs w:val="24"/>
          <w:lang w:val="en-GB"/>
        </w:rPr>
        <w:t xml:space="preserve">Methodology for defining and calculating the </w:t>
      </w:r>
      <w:r w:rsidR="00381DED" w:rsidRPr="007C5B29">
        <w:rPr>
          <w:rFonts w:ascii="Open Sans" w:hAnsi="Open Sans" w:cs="Open Sans"/>
          <w:b/>
          <w:color w:val="244061" w:themeColor="accent1" w:themeShade="80"/>
          <w:sz w:val="24"/>
          <w:szCs w:val="24"/>
          <w:lang w:val="en-GB"/>
        </w:rPr>
        <w:t>OUTPUT</w:t>
      </w:r>
      <w:r w:rsidR="008D2A54" w:rsidRPr="007C5B29">
        <w:rPr>
          <w:rFonts w:ascii="Open Sans" w:hAnsi="Open Sans" w:cs="Open Sans"/>
          <w:b/>
          <w:color w:val="244061" w:themeColor="accent1" w:themeShade="80"/>
          <w:sz w:val="24"/>
          <w:szCs w:val="24"/>
          <w:lang w:val="en-GB"/>
        </w:rPr>
        <w:t xml:space="preserve"> indicators:</w:t>
      </w:r>
    </w:p>
    <w:p w14:paraId="2613D684" w14:textId="77777777" w:rsidR="00E26023" w:rsidRPr="007C5B29" w:rsidRDefault="00E26023" w:rsidP="00E26023">
      <w:pPr>
        <w:jc w:val="both"/>
        <w:rPr>
          <w:rFonts w:ascii="Open Sans" w:hAnsi="Open Sans" w:cs="Open Sans"/>
          <w:b/>
          <w:color w:val="244061" w:themeColor="accent1" w:themeShade="80"/>
          <w:lang w:val="en-GB"/>
        </w:rPr>
      </w:pPr>
      <w:r w:rsidRPr="007C5B29">
        <w:rPr>
          <w:rFonts w:ascii="Open Sans" w:hAnsi="Open Sans" w:cs="Open Sans"/>
          <w:b/>
          <w:color w:val="244061" w:themeColor="accent1" w:themeShade="80"/>
          <w:lang w:val="en-GB"/>
        </w:rPr>
        <w:t>Summary of key information</w:t>
      </w:r>
    </w:p>
    <w:tbl>
      <w:tblPr>
        <w:tblStyle w:val="LightGrid-Accent1"/>
        <w:tblW w:w="0" w:type="auto"/>
        <w:jc w:val="center"/>
        <w:shd w:val="clear" w:color="auto" w:fill="8DB3E2" w:themeFill="text2" w:themeFillTint="66"/>
        <w:tblLayout w:type="fixed"/>
        <w:tblLook w:val="0000" w:firstRow="0" w:lastRow="0" w:firstColumn="0" w:lastColumn="0" w:noHBand="0" w:noVBand="0"/>
      </w:tblPr>
      <w:tblGrid>
        <w:gridCol w:w="4689"/>
        <w:gridCol w:w="5002"/>
      </w:tblGrid>
      <w:tr w:rsidR="007C5B29" w:rsidRPr="007C5B29" w14:paraId="5BA1AB92" w14:textId="77777777" w:rsidTr="00DE1A0B">
        <w:trPr>
          <w:cnfStyle w:val="000000100000" w:firstRow="0" w:lastRow="0" w:firstColumn="0" w:lastColumn="0" w:oddVBand="0" w:evenVBand="0" w:oddHBand="1" w:evenHBand="0" w:firstRowFirstColumn="0" w:firstRowLastColumn="0" w:lastRowFirstColumn="0" w:lastRowLastColumn="0"/>
          <w:trHeight w:val="110"/>
          <w:jc w:val="center"/>
        </w:trPr>
        <w:tc>
          <w:tcPr>
            <w:cnfStyle w:val="000010000000" w:firstRow="0" w:lastRow="0" w:firstColumn="0" w:lastColumn="0" w:oddVBand="1" w:evenVBand="0" w:oddHBand="0" w:evenHBand="0" w:firstRowFirstColumn="0" w:firstRowLastColumn="0" w:lastRowFirstColumn="0" w:lastRowLastColumn="0"/>
            <w:tcW w:w="4689" w:type="dxa"/>
            <w:shd w:val="clear" w:color="auto" w:fill="auto"/>
          </w:tcPr>
          <w:p w14:paraId="62195EE4" w14:textId="77777777" w:rsidR="00E26023" w:rsidRPr="007C5B29" w:rsidRDefault="00E26023" w:rsidP="0079079D">
            <w:pPr>
              <w:autoSpaceDE w:val="0"/>
              <w:autoSpaceDN w:val="0"/>
              <w:adjustRightInd w:val="0"/>
              <w:rPr>
                <w:rFonts w:ascii="Open Sans" w:hAnsi="Open Sans" w:cs="Open Sans"/>
                <w:color w:val="244061" w:themeColor="accent1" w:themeShade="80"/>
                <w:lang w:val="en-GB"/>
              </w:rPr>
            </w:pPr>
            <w:r w:rsidRPr="007C5B29">
              <w:rPr>
                <w:rFonts w:ascii="Open Sans" w:hAnsi="Open Sans" w:cs="Open Sans"/>
                <w:i/>
                <w:iCs/>
                <w:color w:val="244061" w:themeColor="accent1" w:themeShade="80"/>
                <w:lang w:val="en-GB"/>
              </w:rPr>
              <w:t xml:space="preserve">ERDF funds allocated </w:t>
            </w:r>
          </w:p>
        </w:tc>
        <w:tc>
          <w:tcPr>
            <w:tcW w:w="5002" w:type="dxa"/>
            <w:shd w:val="clear" w:color="auto" w:fill="auto"/>
          </w:tcPr>
          <w:p w14:paraId="025A41F9" w14:textId="4B8D5B55" w:rsidR="00E26023" w:rsidRPr="007C5B29" w:rsidRDefault="00BF2ED8" w:rsidP="000E4B41">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Open Sans" w:hAnsi="Open Sans" w:cs="Open Sans"/>
                <w:color w:val="244061" w:themeColor="accent1" w:themeShade="80"/>
                <w:lang w:val="en-GB"/>
              </w:rPr>
            </w:pPr>
            <w:r w:rsidRPr="007C5B29">
              <w:rPr>
                <w:rFonts w:ascii="Open Sans" w:hAnsi="Open Sans" w:cs="Open Sans"/>
                <w:color w:val="244061" w:themeColor="accent1" w:themeShade="80"/>
                <w:lang w:val="en-GB"/>
              </w:rPr>
              <w:t xml:space="preserve">EUR </w:t>
            </w:r>
            <w:r w:rsidR="00D82EF0" w:rsidRPr="007C5B29">
              <w:rPr>
                <w:rFonts w:ascii="Open Sans" w:hAnsi="Open Sans" w:cs="Open Sans"/>
                <w:color w:val="244061" w:themeColor="accent1" w:themeShade="80"/>
                <w:lang w:val="en-GB"/>
              </w:rPr>
              <w:t>8</w:t>
            </w:r>
            <w:r w:rsidR="000E4B41" w:rsidRPr="007C5B29">
              <w:rPr>
                <w:rFonts w:ascii="Open Sans" w:hAnsi="Open Sans" w:cs="Open Sans"/>
                <w:color w:val="244061" w:themeColor="accent1" w:themeShade="80"/>
                <w:lang w:val="en-GB"/>
              </w:rPr>
              <w:t>,</w:t>
            </w:r>
            <w:r w:rsidR="00D82EF0" w:rsidRPr="007C5B29">
              <w:rPr>
                <w:rFonts w:ascii="Open Sans" w:hAnsi="Open Sans" w:cs="Open Sans"/>
                <w:color w:val="244061" w:themeColor="accent1" w:themeShade="80"/>
                <w:lang w:val="en-GB"/>
              </w:rPr>
              <w:t>115</w:t>
            </w:r>
            <w:r w:rsidR="000E4B41" w:rsidRPr="007C5B29">
              <w:rPr>
                <w:rFonts w:ascii="Open Sans" w:hAnsi="Open Sans" w:cs="Open Sans"/>
                <w:color w:val="244061" w:themeColor="accent1" w:themeShade="80"/>
                <w:lang w:val="en-GB"/>
              </w:rPr>
              <w:t>,</w:t>
            </w:r>
            <w:r w:rsidR="00D82EF0" w:rsidRPr="007C5B29">
              <w:rPr>
                <w:rFonts w:ascii="Open Sans" w:hAnsi="Open Sans" w:cs="Open Sans"/>
                <w:color w:val="244061" w:themeColor="accent1" w:themeShade="80"/>
                <w:lang w:val="en-GB"/>
              </w:rPr>
              <w:t>835</w:t>
            </w:r>
          </w:p>
        </w:tc>
      </w:tr>
      <w:tr w:rsidR="007C5B29" w:rsidRPr="007C5B29" w14:paraId="16D40D5C" w14:textId="77777777" w:rsidTr="00DE1A0B">
        <w:trPr>
          <w:cnfStyle w:val="000000010000" w:firstRow="0" w:lastRow="0" w:firstColumn="0" w:lastColumn="0" w:oddVBand="0" w:evenVBand="0" w:oddHBand="0" w:evenHBand="1" w:firstRowFirstColumn="0" w:firstRowLastColumn="0" w:lastRowFirstColumn="0" w:lastRowLastColumn="0"/>
          <w:trHeight w:val="110"/>
          <w:jc w:val="center"/>
        </w:trPr>
        <w:tc>
          <w:tcPr>
            <w:cnfStyle w:val="000010000000" w:firstRow="0" w:lastRow="0" w:firstColumn="0" w:lastColumn="0" w:oddVBand="1" w:evenVBand="0" w:oddHBand="0" w:evenHBand="0" w:firstRowFirstColumn="0" w:firstRowLastColumn="0" w:lastRowFirstColumn="0" w:lastRowLastColumn="0"/>
            <w:tcW w:w="4689" w:type="dxa"/>
            <w:shd w:val="clear" w:color="auto" w:fill="auto"/>
          </w:tcPr>
          <w:p w14:paraId="643FF022" w14:textId="77777777" w:rsidR="00E26023" w:rsidRPr="007C5B29" w:rsidRDefault="00E26023" w:rsidP="0079079D">
            <w:pPr>
              <w:autoSpaceDE w:val="0"/>
              <w:autoSpaceDN w:val="0"/>
              <w:adjustRightInd w:val="0"/>
              <w:rPr>
                <w:rFonts w:ascii="Open Sans" w:hAnsi="Open Sans" w:cs="Open Sans"/>
                <w:color w:val="244061" w:themeColor="accent1" w:themeShade="80"/>
                <w:lang w:val="en-GB"/>
              </w:rPr>
            </w:pPr>
            <w:r w:rsidRPr="007C5B29">
              <w:rPr>
                <w:rFonts w:ascii="Open Sans" w:hAnsi="Open Sans" w:cs="Open Sans"/>
                <w:i/>
                <w:iCs/>
                <w:color w:val="244061" w:themeColor="accent1" w:themeShade="80"/>
                <w:lang w:val="en-GB"/>
              </w:rPr>
              <w:t xml:space="preserve">Total available budget </w:t>
            </w:r>
          </w:p>
        </w:tc>
        <w:tc>
          <w:tcPr>
            <w:tcW w:w="5002" w:type="dxa"/>
            <w:shd w:val="clear" w:color="auto" w:fill="auto"/>
          </w:tcPr>
          <w:p w14:paraId="03EC2F02" w14:textId="72E0F4F7" w:rsidR="00E26023" w:rsidRPr="007C5B29" w:rsidRDefault="00BF2ED8" w:rsidP="000E4B41">
            <w:pPr>
              <w:autoSpaceDE w:val="0"/>
              <w:autoSpaceDN w:val="0"/>
              <w:adjustRightInd w:val="0"/>
              <w:cnfStyle w:val="000000010000" w:firstRow="0" w:lastRow="0" w:firstColumn="0" w:lastColumn="0" w:oddVBand="0" w:evenVBand="0" w:oddHBand="0" w:evenHBand="1" w:firstRowFirstColumn="0" w:firstRowLastColumn="0" w:lastRowFirstColumn="0" w:lastRowLastColumn="0"/>
              <w:rPr>
                <w:rFonts w:ascii="Open Sans" w:hAnsi="Open Sans" w:cs="Open Sans"/>
                <w:color w:val="244061" w:themeColor="accent1" w:themeShade="80"/>
                <w:lang w:val="en-GB"/>
              </w:rPr>
            </w:pPr>
            <w:r w:rsidRPr="007C5B29">
              <w:rPr>
                <w:rFonts w:ascii="Open Sans" w:hAnsi="Open Sans" w:cs="Open Sans"/>
                <w:color w:val="244061" w:themeColor="accent1" w:themeShade="80"/>
                <w:lang w:val="en-GB"/>
              </w:rPr>
              <w:t xml:space="preserve">EUR </w:t>
            </w:r>
            <w:r w:rsidR="00D82EF0" w:rsidRPr="007C5B29">
              <w:rPr>
                <w:rFonts w:ascii="Open Sans" w:hAnsi="Open Sans" w:cs="Open Sans"/>
                <w:color w:val="244061" w:themeColor="accent1" w:themeShade="80"/>
                <w:lang w:val="en-GB"/>
              </w:rPr>
              <w:t>9</w:t>
            </w:r>
            <w:r w:rsidR="000E4B41" w:rsidRPr="007C5B29">
              <w:rPr>
                <w:rFonts w:ascii="Open Sans" w:hAnsi="Open Sans" w:cs="Open Sans"/>
                <w:color w:val="244061" w:themeColor="accent1" w:themeShade="80"/>
                <w:lang w:val="en-GB"/>
              </w:rPr>
              <w:t>,</w:t>
            </w:r>
            <w:r w:rsidR="00D82EF0" w:rsidRPr="007C5B29">
              <w:rPr>
                <w:rFonts w:ascii="Open Sans" w:hAnsi="Open Sans" w:cs="Open Sans"/>
                <w:color w:val="244061" w:themeColor="accent1" w:themeShade="80"/>
                <w:lang w:val="en-GB"/>
              </w:rPr>
              <w:t>548</w:t>
            </w:r>
            <w:r w:rsidR="000E4B41" w:rsidRPr="007C5B29">
              <w:rPr>
                <w:rFonts w:ascii="Open Sans" w:hAnsi="Open Sans" w:cs="Open Sans"/>
                <w:color w:val="244061" w:themeColor="accent1" w:themeShade="80"/>
                <w:lang w:val="en-GB"/>
              </w:rPr>
              <w:t>,</w:t>
            </w:r>
            <w:r w:rsidR="00D82EF0" w:rsidRPr="007C5B29">
              <w:rPr>
                <w:rFonts w:ascii="Open Sans" w:hAnsi="Open Sans" w:cs="Open Sans"/>
                <w:color w:val="244061" w:themeColor="accent1" w:themeShade="80"/>
                <w:lang w:val="en-GB"/>
              </w:rPr>
              <w:t>042</w:t>
            </w:r>
          </w:p>
        </w:tc>
      </w:tr>
      <w:tr w:rsidR="007C5B29" w:rsidRPr="007C5B29" w14:paraId="39EDCBCD" w14:textId="77777777" w:rsidTr="00DE1A0B">
        <w:trPr>
          <w:cnfStyle w:val="000000100000" w:firstRow="0" w:lastRow="0" w:firstColumn="0" w:lastColumn="0" w:oddVBand="0" w:evenVBand="0" w:oddHBand="1" w:evenHBand="0" w:firstRowFirstColumn="0" w:firstRowLastColumn="0" w:lastRowFirstColumn="0" w:lastRowLastColumn="0"/>
          <w:trHeight w:val="110"/>
          <w:jc w:val="center"/>
        </w:trPr>
        <w:tc>
          <w:tcPr>
            <w:cnfStyle w:val="000010000000" w:firstRow="0" w:lastRow="0" w:firstColumn="0" w:lastColumn="0" w:oddVBand="1" w:evenVBand="0" w:oddHBand="0" w:evenHBand="0" w:firstRowFirstColumn="0" w:firstRowLastColumn="0" w:lastRowFirstColumn="0" w:lastRowLastColumn="0"/>
            <w:tcW w:w="4689" w:type="dxa"/>
            <w:shd w:val="clear" w:color="auto" w:fill="auto"/>
          </w:tcPr>
          <w:p w14:paraId="60114DA6" w14:textId="77777777" w:rsidR="00E26023" w:rsidRPr="007C5B29" w:rsidRDefault="00E26023" w:rsidP="0079079D">
            <w:pPr>
              <w:autoSpaceDE w:val="0"/>
              <w:autoSpaceDN w:val="0"/>
              <w:adjustRightInd w:val="0"/>
              <w:rPr>
                <w:rFonts w:ascii="Open Sans" w:hAnsi="Open Sans" w:cs="Open Sans"/>
                <w:color w:val="244061" w:themeColor="accent1" w:themeShade="80"/>
                <w:lang w:val="en-GB"/>
              </w:rPr>
            </w:pPr>
            <w:r w:rsidRPr="007C5B29">
              <w:rPr>
                <w:rFonts w:ascii="Open Sans" w:hAnsi="Open Sans" w:cs="Open Sans"/>
                <w:bCs/>
                <w:color w:val="244061" w:themeColor="accent1" w:themeShade="80"/>
                <w:lang w:val="en-GB"/>
              </w:rPr>
              <w:t xml:space="preserve">Indicators </w:t>
            </w:r>
          </w:p>
        </w:tc>
        <w:tc>
          <w:tcPr>
            <w:tcW w:w="5002" w:type="dxa"/>
            <w:shd w:val="clear" w:color="auto" w:fill="auto"/>
          </w:tcPr>
          <w:p w14:paraId="12DCC13C" w14:textId="77777777" w:rsidR="00E26023" w:rsidRPr="007C5B29" w:rsidRDefault="00E26023" w:rsidP="0079079D">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Open Sans" w:hAnsi="Open Sans" w:cs="Open Sans"/>
                <w:color w:val="244061" w:themeColor="accent1" w:themeShade="80"/>
                <w:lang w:val="en-GB"/>
              </w:rPr>
            </w:pPr>
            <w:r w:rsidRPr="007C5B29">
              <w:rPr>
                <w:rFonts w:ascii="Open Sans" w:hAnsi="Open Sans" w:cs="Open Sans"/>
                <w:bCs/>
                <w:color w:val="244061" w:themeColor="accent1" w:themeShade="80"/>
                <w:lang w:val="en-GB"/>
              </w:rPr>
              <w:t xml:space="preserve">Assumed proportion of allocation </w:t>
            </w:r>
          </w:p>
        </w:tc>
      </w:tr>
      <w:tr w:rsidR="007C5B29" w:rsidRPr="007C5B29" w14:paraId="1FD49C47" w14:textId="77777777" w:rsidTr="00DE1A0B">
        <w:trPr>
          <w:cnfStyle w:val="000000010000" w:firstRow="0" w:lastRow="0" w:firstColumn="0" w:lastColumn="0" w:oddVBand="0" w:evenVBand="0" w:oddHBand="0" w:evenHBand="1" w:firstRowFirstColumn="0" w:firstRowLastColumn="0" w:lastRowFirstColumn="0" w:lastRowLastColumn="0"/>
          <w:trHeight w:val="211"/>
          <w:jc w:val="center"/>
        </w:trPr>
        <w:tc>
          <w:tcPr>
            <w:cnfStyle w:val="000010000000" w:firstRow="0" w:lastRow="0" w:firstColumn="0" w:lastColumn="0" w:oddVBand="1" w:evenVBand="0" w:oddHBand="0" w:evenHBand="0" w:firstRowFirstColumn="0" w:firstRowLastColumn="0" w:lastRowFirstColumn="0" w:lastRowLastColumn="0"/>
            <w:tcW w:w="4689" w:type="dxa"/>
            <w:shd w:val="clear" w:color="auto" w:fill="auto"/>
          </w:tcPr>
          <w:p w14:paraId="72B0495E" w14:textId="23DCAC62" w:rsidR="00E26023" w:rsidRPr="007C5B29" w:rsidRDefault="009650BF" w:rsidP="0079079D">
            <w:pPr>
              <w:autoSpaceDE w:val="0"/>
              <w:autoSpaceDN w:val="0"/>
              <w:adjustRightInd w:val="0"/>
              <w:rPr>
                <w:rFonts w:ascii="Open Sans" w:hAnsi="Open Sans" w:cs="Open Sans"/>
                <w:color w:val="244061" w:themeColor="accent1" w:themeShade="80"/>
                <w:lang w:val="en-GB"/>
              </w:rPr>
            </w:pPr>
            <w:r w:rsidRPr="007C5B29">
              <w:rPr>
                <w:rFonts w:ascii="Open Sans" w:hAnsi="Open Sans" w:cs="Open Sans"/>
                <w:color w:val="244061" w:themeColor="accent1" w:themeShade="80"/>
                <w:lang w:val="en-GB"/>
              </w:rPr>
              <w:t>5</w:t>
            </w:r>
            <w:r w:rsidR="00BF2ED8" w:rsidRPr="007C5B29">
              <w:rPr>
                <w:rFonts w:ascii="Open Sans" w:hAnsi="Open Sans" w:cs="Open Sans"/>
                <w:color w:val="244061" w:themeColor="accent1" w:themeShade="80"/>
                <w:lang w:val="en-GB"/>
              </w:rPr>
              <w:t>/b</w:t>
            </w:r>
            <w:r w:rsidR="00E26023" w:rsidRPr="007C5B29">
              <w:rPr>
                <w:rFonts w:ascii="Open Sans" w:hAnsi="Open Sans" w:cs="Open Sans"/>
                <w:color w:val="244061" w:themeColor="accent1" w:themeShade="80"/>
                <w:lang w:val="en-GB"/>
              </w:rPr>
              <w:t xml:space="preserve"> 1 </w:t>
            </w:r>
          </w:p>
        </w:tc>
        <w:tc>
          <w:tcPr>
            <w:tcW w:w="5002" w:type="dxa"/>
            <w:shd w:val="clear" w:color="auto" w:fill="auto"/>
          </w:tcPr>
          <w:p w14:paraId="6FFB8971" w14:textId="0A4872DA" w:rsidR="00E26023" w:rsidRPr="007C5B29" w:rsidRDefault="00D82EF0" w:rsidP="0079079D">
            <w:pPr>
              <w:autoSpaceDE w:val="0"/>
              <w:autoSpaceDN w:val="0"/>
              <w:adjustRightInd w:val="0"/>
              <w:cnfStyle w:val="000000010000" w:firstRow="0" w:lastRow="0" w:firstColumn="0" w:lastColumn="0" w:oddVBand="0" w:evenVBand="0" w:oddHBand="0" w:evenHBand="1" w:firstRowFirstColumn="0" w:firstRowLastColumn="0" w:lastRowFirstColumn="0" w:lastRowLastColumn="0"/>
              <w:rPr>
                <w:rFonts w:ascii="Open Sans" w:hAnsi="Open Sans" w:cs="Open Sans"/>
                <w:color w:val="244061" w:themeColor="accent1" w:themeShade="80"/>
                <w:lang w:val="en-GB"/>
              </w:rPr>
            </w:pPr>
            <w:r w:rsidRPr="007C5B29">
              <w:rPr>
                <w:rFonts w:ascii="Open Sans" w:hAnsi="Open Sans" w:cs="Open Sans"/>
                <w:color w:val="244061" w:themeColor="accent1" w:themeShade="80"/>
                <w:lang w:val="en-GB"/>
              </w:rPr>
              <w:t>100</w:t>
            </w:r>
            <w:r w:rsidR="00BF2ED8" w:rsidRPr="007C5B29">
              <w:rPr>
                <w:rFonts w:ascii="Open Sans" w:hAnsi="Open Sans" w:cs="Open Sans"/>
                <w:color w:val="244061" w:themeColor="accent1" w:themeShade="80"/>
                <w:lang w:val="en-GB"/>
              </w:rPr>
              <w:t xml:space="preserve">% </w:t>
            </w:r>
            <w:r w:rsidR="000300F6" w:rsidRPr="007C5B29">
              <w:rPr>
                <w:rFonts w:ascii="Open Sans" w:hAnsi="Open Sans" w:cs="Open Sans"/>
                <w:color w:val="244061" w:themeColor="accent1" w:themeShade="80"/>
                <w:lang w:val="en-GB"/>
              </w:rPr>
              <w:t>of total allocation</w:t>
            </w:r>
          </w:p>
        </w:tc>
      </w:tr>
      <w:tr w:rsidR="007C5B29" w:rsidRPr="007C5B29" w14:paraId="102578CB" w14:textId="77777777" w:rsidTr="00DE1A0B">
        <w:trPr>
          <w:cnfStyle w:val="000000100000" w:firstRow="0" w:lastRow="0" w:firstColumn="0" w:lastColumn="0" w:oddVBand="0" w:evenVBand="0" w:oddHBand="1" w:evenHBand="0" w:firstRowFirstColumn="0" w:firstRowLastColumn="0" w:lastRowFirstColumn="0" w:lastRowLastColumn="0"/>
          <w:trHeight w:val="110"/>
          <w:jc w:val="center"/>
        </w:trPr>
        <w:tc>
          <w:tcPr>
            <w:cnfStyle w:val="000010000000" w:firstRow="0" w:lastRow="0" w:firstColumn="0" w:lastColumn="0" w:oddVBand="1" w:evenVBand="0" w:oddHBand="0" w:evenHBand="0" w:firstRowFirstColumn="0" w:firstRowLastColumn="0" w:lastRowFirstColumn="0" w:lastRowLastColumn="0"/>
            <w:tcW w:w="4689" w:type="dxa"/>
            <w:tcBorders>
              <w:top w:val="single" w:sz="4" w:space="0" w:color="auto"/>
              <w:left w:val="nil"/>
              <w:bottom w:val="nil"/>
              <w:right w:val="nil"/>
            </w:tcBorders>
            <w:shd w:val="clear" w:color="auto" w:fill="auto"/>
          </w:tcPr>
          <w:p w14:paraId="68778685" w14:textId="77777777" w:rsidR="00C50B2A" w:rsidRPr="007C5B29" w:rsidRDefault="00C50B2A" w:rsidP="0079079D">
            <w:pPr>
              <w:autoSpaceDE w:val="0"/>
              <w:autoSpaceDN w:val="0"/>
              <w:adjustRightInd w:val="0"/>
              <w:rPr>
                <w:rFonts w:ascii="Open Sans" w:hAnsi="Open Sans" w:cs="Open Sans"/>
                <w:color w:val="244061" w:themeColor="accent1" w:themeShade="80"/>
                <w:lang w:val="en-GB"/>
              </w:rPr>
            </w:pPr>
          </w:p>
          <w:p w14:paraId="353E7692" w14:textId="478C9A9C" w:rsidR="00E100EC" w:rsidRPr="007C5B29" w:rsidRDefault="00E74021" w:rsidP="009E627C">
            <w:pPr>
              <w:autoSpaceDE w:val="0"/>
              <w:autoSpaceDN w:val="0"/>
              <w:adjustRightInd w:val="0"/>
              <w:spacing w:after="120"/>
              <w:rPr>
                <w:rFonts w:ascii="Open Sans" w:hAnsi="Open Sans" w:cs="Open Sans"/>
                <w:color w:val="244061" w:themeColor="accent1" w:themeShade="80"/>
                <w:lang w:val="en-GB"/>
              </w:rPr>
            </w:pPr>
            <w:r w:rsidRPr="007C5B29">
              <w:rPr>
                <w:rFonts w:ascii="Open Sans" w:hAnsi="Open Sans" w:cs="Open Sans"/>
                <w:color w:val="244061" w:themeColor="accent1" w:themeShade="80"/>
                <w:lang w:val="en-GB"/>
              </w:rPr>
              <w:t>Categories of intervention:</w:t>
            </w:r>
          </w:p>
        </w:tc>
        <w:tc>
          <w:tcPr>
            <w:tcW w:w="5002" w:type="dxa"/>
            <w:tcBorders>
              <w:top w:val="single" w:sz="4" w:space="0" w:color="auto"/>
              <w:left w:val="nil"/>
              <w:bottom w:val="nil"/>
              <w:right w:val="nil"/>
            </w:tcBorders>
            <w:shd w:val="clear" w:color="auto" w:fill="auto"/>
          </w:tcPr>
          <w:p w14:paraId="38578210" w14:textId="77777777" w:rsidR="00E100EC" w:rsidRPr="007C5B29" w:rsidRDefault="00E100EC" w:rsidP="0079079D">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Open Sans" w:hAnsi="Open Sans" w:cs="Open Sans"/>
                <w:color w:val="244061" w:themeColor="accent1" w:themeShade="80"/>
                <w:lang w:val="en-GB"/>
              </w:rPr>
            </w:pPr>
          </w:p>
        </w:tc>
      </w:tr>
    </w:tbl>
    <w:tbl>
      <w:tblPr>
        <w:tblStyle w:val="LightList-Accent1"/>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gridCol w:w="2117"/>
      </w:tblGrid>
      <w:tr w:rsidR="007C5B29" w:rsidRPr="007C5B29" w14:paraId="46326528" w14:textId="77777777" w:rsidTr="00293A7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513" w:type="dxa"/>
            <w:shd w:val="clear" w:color="auto" w:fill="FE2A48"/>
          </w:tcPr>
          <w:p w14:paraId="537EDB51" w14:textId="77777777" w:rsidR="00E26023" w:rsidRPr="007C5B29" w:rsidRDefault="00E26023" w:rsidP="0079079D">
            <w:pPr>
              <w:jc w:val="both"/>
              <w:rPr>
                <w:rFonts w:ascii="Open Sans" w:hAnsi="Open Sans" w:cs="Open Sans"/>
                <w:color w:val="244061" w:themeColor="accent1" w:themeShade="80"/>
                <w:lang w:val="en-GB"/>
              </w:rPr>
            </w:pPr>
            <w:r w:rsidRPr="007C5B29">
              <w:rPr>
                <w:rFonts w:ascii="Open Sans" w:hAnsi="Open Sans" w:cs="Open Sans"/>
                <w:color w:val="244061" w:themeColor="accent1" w:themeShade="80"/>
                <w:lang w:val="en-GB"/>
              </w:rPr>
              <w:t>Code</w:t>
            </w:r>
            <w:r w:rsidRPr="007C5B29">
              <w:rPr>
                <w:rFonts w:ascii="Open Sans" w:hAnsi="Open Sans" w:cs="Open Sans"/>
                <w:color w:val="244061" w:themeColor="accent1" w:themeShade="80"/>
                <w:lang w:val="en-GB"/>
              </w:rPr>
              <w:tab/>
            </w:r>
          </w:p>
        </w:tc>
        <w:tc>
          <w:tcPr>
            <w:tcW w:w="2117" w:type="dxa"/>
            <w:shd w:val="clear" w:color="auto" w:fill="FE2A48"/>
          </w:tcPr>
          <w:p w14:paraId="44B09AE0" w14:textId="77777777" w:rsidR="00E26023" w:rsidRPr="007C5B29" w:rsidRDefault="00E26023" w:rsidP="002B6BE4">
            <w:pPr>
              <w:jc w:val="center"/>
              <w:cnfStyle w:val="100000000000" w:firstRow="1" w:lastRow="0" w:firstColumn="0" w:lastColumn="0" w:oddVBand="0" w:evenVBand="0" w:oddHBand="0" w:evenHBand="0" w:firstRowFirstColumn="0" w:firstRowLastColumn="0" w:lastRowFirstColumn="0" w:lastRowLastColumn="0"/>
              <w:rPr>
                <w:rFonts w:ascii="Open Sans" w:hAnsi="Open Sans" w:cs="Open Sans"/>
                <w:color w:val="244061" w:themeColor="accent1" w:themeShade="80"/>
                <w:lang w:val="en-GB"/>
              </w:rPr>
            </w:pPr>
            <w:r w:rsidRPr="007C5B29">
              <w:rPr>
                <w:rFonts w:ascii="Open Sans" w:hAnsi="Open Sans" w:cs="Open Sans"/>
                <w:color w:val="244061" w:themeColor="accent1" w:themeShade="80"/>
                <w:lang w:val="en-GB"/>
              </w:rPr>
              <w:t>Amount (€)</w:t>
            </w:r>
          </w:p>
        </w:tc>
      </w:tr>
      <w:tr w:rsidR="007C5B29" w:rsidRPr="007C5B29" w14:paraId="53EA3B2B" w14:textId="77777777" w:rsidTr="006748D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513" w:type="dxa"/>
            <w:tcBorders>
              <w:top w:val="none" w:sz="0" w:space="0" w:color="auto"/>
              <w:left w:val="none" w:sz="0" w:space="0" w:color="auto"/>
              <w:bottom w:val="none" w:sz="0" w:space="0" w:color="auto"/>
            </w:tcBorders>
            <w:vAlign w:val="center"/>
          </w:tcPr>
          <w:p w14:paraId="165F8AF2" w14:textId="0A7D8EDD" w:rsidR="00E26023" w:rsidRPr="007C5B29" w:rsidRDefault="00D82EF0" w:rsidP="002B6BE4">
            <w:pPr>
              <w:spacing w:line="276" w:lineRule="auto"/>
              <w:jc w:val="both"/>
              <w:rPr>
                <w:rFonts w:ascii="Open Sans" w:hAnsi="Open Sans" w:cs="Open Sans"/>
                <w:color w:val="244061" w:themeColor="accent1" w:themeShade="80"/>
                <w:lang w:val="en-GB"/>
              </w:rPr>
            </w:pPr>
            <w:r w:rsidRPr="007C5B29">
              <w:rPr>
                <w:rFonts w:ascii="Open Sans" w:hAnsi="Open Sans" w:cs="Open Sans"/>
                <w:color w:val="244061" w:themeColor="accent1" w:themeShade="80"/>
                <w:lang w:val="en-GB"/>
              </w:rPr>
              <w:t>087. Adaptation to climate change measures and prevention and management of climate related risks e.g. erosion, fires, flooding, storms and drought, including awareness raising, civil protection and disaster management systems and infrastructures</w:t>
            </w:r>
          </w:p>
        </w:tc>
        <w:tc>
          <w:tcPr>
            <w:tcW w:w="2117" w:type="dxa"/>
            <w:tcBorders>
              <w:top w:val="none" w:sz="0" w:space="0" w:color="auto"/>
              <w:bottom w:val="none" w:sz="0" w:space="0" w:color="auto"/>
              <w:right w:val="none" w:sz="0" w:space="0" w:color="auto"/>
            </w:tcBorders>
            <w:vAlign w:val="center"/>
          </w:tcPr>
          <w:p w14:paraId="6A623077" w14:textId="0B49BEEA" w:rsidR="00E26023" w:rsidRPr="007C5B29" w:rsidRDefault="00D82EF0" w:rsidP="002B6BE4">
            <w:pPr>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color w:val="244061" w:themeColor="accent1" w:themeShade="80"/>
                <w:lang w:val="en-GB"/>
              </w:rPr>
            </w:pPr>
            <w:r w:rsidRPr="007C5B29">
              <w:rPr>
                <w:rFonts w:ascii="Open Sans" w:hAnsi="Open Sans" w:cs="Open Sans"/>
                <w:color w:val="244061" w:themeColor="accent1" w:themeShade="80"/>
                <w:lang w:val="en-GB"/>
              </w:rPr>
              <w:t>5,275,293.00</w:t>
            </w:r>
          </w:p>
        </w:tc>
      </w:tr>
      <w:tr w:rsidR="007C5B29" w:rsidRPr="007C5B29" w14:paraId="72AB2643" w14:textId="77777777" w:rsidTr="00293A7C">
        <w:trPr>
          <w:jc w:val="center"/>
        </w:trPr>
        <w:tc>
          <w:tcPr>
            <w:cnfStyle w:val="001000000000" w:firstRow="0" w:lastRow="0" w:firstColumn="1" w:lastColumn="0" w:oddVBand="0" w:evenVBand="0" w:oddHBand="0" w:evenHBand="0" w:firstRowFirstColumn="0" w:firstRowLastColumn="0" w:lastRowFirstColumn="0" w:lastRowLastColumn="0"/>
            <w:tcW w:w="7513" w:type="dxa"/>
            <w:vAlign w:val="center"/>
          </w:tcPr>
          <w:p w14:paraId="158D2A8C" w14:textId="04E23583" w:rsidR="00D82EF0" w:rsidRPr="007C5B29" w:rsidRDefault="00D82EF0" w:rsidP="002B6BE4">
            <w:pPr>
              <w:spacing w:line="276" w:lineRule="auto"/>
              <w:jc w:val="both"/>
              <w:rPr>
                <w:rFonts w:ascii="Open Sans" w:hAnsi="Open Sans" w:cs="Open Sans"/>
                <w:color w:val="244061" w:themeColor="accent1" w:themeShade="80"/>
                <w:lang w:val="en-GB"/>
              </w:rPr>
            </w:pPr>
            <w:r w:rsidRPr="007C5B29">
              <w:rPr>
                <w:rFonts w:ascii="Open Sans" w:hAnsi="Open Sans" w:cs="Open Sans"/>
                <w:color w:val="244061" w:themeColor="accent1" w:themeShade="80"/>
                <w:lang w:val="en-GB"/>
              </w:rPr>
              <w:t>088. Risk prevention and management of non-climate related natural risks (i.e. earthquakes) and risks linked to human activities (e.g. technological accidents), including awareness raising, civil protection and disaster management systems and infrastructures</w:t>
            </w:r>
          </w:p>
        </w:tc>
        <w:tc>
          <w:tcPr>
            <w:tcW w:w="2117" w:type="dxa"/>
            <w:vAlign w:val="center"/>
          </w:tcPr>
          <w:p w14:paraId="63A60217" w14:textId="1CC3387D" w:rsidR="00D82EF0" w:rsidRPr="007C5B29" w:rsidRDefault="00D82EF0" w:rsidP="002B6BE4">
            <w:pPr>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color w:val="244061" w:themeColor="accent1" w:themeShade="80"/>
                <w:lang w:val="en-GB"/>
              </w:rPr>
            </w:pPr>
            <w:r w:rsidRPr="007C5B29">
              <w:rPr>
                <w:rFonts w:ascii="Open Sans" w:hAnsi="Open Sans" w:cs="Open Sans"/>
                <w:color w:val="244061" w:themeColor="accent1" w:themeShade="80"/>
                <w:lang w:val="en-GB"/>
              </w:rPr>
              <w:t>2,840,542.00</w:t>
            </w:r>
          </w:p>
        </w:tc>
      </w:tr>
    </w:tbl>
    <w:p w14:paraId="50AB30A7" w14:textId="5378EFB7" w:rsidR="00BF2ED8" w:rsidRPr="007C5B29" w:rsidRDefault="007F43EC" w:rsidP="007C5B29">
      <w:pPr>
        <w:spacing w:before="120" w:after="120"/>
        <w:jc w:val="both"/>
        <w:rPr>
          <w:rFonts w:ascii="Open Sans" w:hAnsi="Open Sans" w:cs="Open Sans"/>
          <w:color w:val="244061" w:themeColor="accent1" w:themeShade="80"/>
          <w:lang w:val="en-GB"/>
        </w:rPr>
      </w:pPr>
      <w:r w:rsidRPr="007C5B29">
        <w:rPr>
          <w:rFonts w:ascii="Open Sans" w:hAnsi="Open Sans" w:cs="Open Sans"/>
          <w:color w:val="244061" w:themeColor="accent1" w:themeShade="80"/>
          <w:lang w:val="en-GB"/>
        </w:rPr>
        <w:t xml:space="preserve">For measuring the outputs under this </w:t>
      </w:r>
      <w:proofErr w:type="spellStart"/>
      <w:r w:rsidRPr="007C5B29">
        <w:rPr>
          <w:rFonts w:ascii="Open Sans" w:hAnsi="Open Sans" w:cs="Open Sans"/>
          <w:color w:val="244061" w:themeColor="accent1" w:themeShade="80"/>
          <w:lang w:val="en-GB"/>
        </w:rPr>
        <w:t>Ip</w:t>
      </w:r>
      <w:proofErr w:type="spellEnd"/>
      <w:r w:rsidRPr="007C5B29">
        <w:rPr>
          <w:rFonts w:ascii="Open Sans" w:hAnsi="Open Sans" w:cs="Open Sans"/>
          <w:color w:val="244061" w:themeColor="accent1" w:themeShade="80"/>
          <w:lang w:val="en-GB"/>
        </w:rPr>
        <w:t xml:space="preserve">, </w:t>
      </w:r>
      <w:r w:rsidR="00927E3E" w:rsidRPr="007C5B29">
        <w:rPr>
          <w:rFonts w:ascii="Open Sans" w:hAnsi="Open Sans" w:cs="Open Sans"/>
          <w:color w:val="244061" w:themeColor="accent1" w:themeShade="80"/>
          <w:lang w:val="en-GB"/>
        </w:rPr>
        <w:t>1</w:t>
      </w:r>
      <w:r w:rsidR="00BF2ED8" w:rsidRPr="007C5B29">
        <w:rPr>
          <w:rFonts w:ascii="Open Sans" w:hAnsi="Open Sans" w:cs="Open Sans"/>
          <w:color w:val="244061" w:themeColor="accent1" w:themeShade="80"/>
          <w:lang w:val="en-GB"/>
        </w:rPr>
        <w:t xml:space="preserve"> output indicator</w:t>
      </w:r>
      <w:r w:rsidRPr="007C5B29">
        <w:rPr>
          <w:rFonts w:ascii="Open Sans" w:hAnsi="Open Sans" w:cs="Open Sans"/>
          <w:color w:val="244061" w:themeColor="accent1" w:themeShade="80"/>
          <w:lang w:val="en-GB"/>
        </w:rPr>
        <w:t xml:space="preserve"> have been </w:t>
      </w:r>
      <w:r w:rsidR="00742BAD" w:rsidRPr="007C5B29">
        <w:rPr>
          <w:rFonts w:ascii="Open Sans" w:hAnsi="Open Sans" w:cs="Open Sans"/>
          <w:color w:val="244061" w:themeColor="accent1" w:themeShade="80"/>
          <w:lang w:val="en-GB"/>
        </w:rPr>
        <w:t>i</w:t>
      </w:r>
      <w:r w:rsidR="00BF2ED8" w:rsidRPr="007C5B29">
        <w:rPr>
          <w:rFonts w:ascii="Open Sans" w:hAnsi="Open Sans" w:cs="Open Sans"/>
          <w:color w:val="244061" w:themeColor="accent1" w:themeShade="80"/>
          <w:lang w:val="en-GB"/>
        </w:rPr>
        <w:t xml:space="preserve">dentified, number of </w:t>
      </w:r>
      <w:r w:rsidR="00927E3E" w:rsidRPr="007C5B29">
        <w:rPr>
          <w:rFonts w:ascii="Open Sans" w:hAnsi="Open Sans" w:cs="Open Sans"/>
          <w:color w:val="244061" w:themeColor="accent1" w:themeShade="80"/>
          <w:lang w:val="en-GB"/>
        </w:rPr>
        <w:t xml:space="preserve">people benefiting from improved emergency response services, </w:t>
      </w:r>
      <w:r w:rsidR="003F0BBC" w:rsidRPr="007C5B29">
        <w:rPr>
          <w:rFonts w:ascii="Open Sans" w:hAnsi="Open Sans" w:cs="Open Sans"/>
          <w:color w:val="244061" w:themeColor="accent1" w:themeShade="80"/>
          <w:lang w:val="en-GB"/>
        </w:rPr>
        <w:t>after the completion of the project, which is a programme specific output indicator.</w:t>
      </w:r>
    </w:p>
    <w:tbl>
      <w:tblPr>
        <w:tblStyle w:val="LightList-Accent1"/>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2126"/>
        <w:gridCol w:w="1625"/>
      </w:tblGrid>
      <w:tr w:rsidR="007C5B29" w:rsidRPr="007C5B29" w14:paraId="0F0ADF8C" w14:textId="77777777" w:rsidTr="00293A7C">
        <w:trPr>
          <w:cnfStyle w:val="100000000000" w:firstRow="1" w:lastRow="0" w:firstColumn="0" w:lastColumn="0" w:oddVBand="0" w:evenVBand="0" w:oddHBand="0" w:evenHBand="0" w:firstRowFirstColumn="0" w:firstRowLastColumn="0" w:lastRowFirstColumn="0" w:lastRowLastColumn="0"/>
          <w:trHeight w:val="520"/>
          <w:jc w:val="center"/>
        </w:trPr>
        <w:tc>
          <w:tcPr>
            <w:cnfStyle w:val="001000000000" w:firstRow="0" w:lastRow="0" w:firstColumn="1" w:lastColumn="0" w:oddVBand="0" w:evenVBand="0" w:oddHBand="0" w:evenHBand="0" w:firstRowFirstColumn="0" w:firstRowLastColumn="0" w:lastRowFirstColumn="0" w:lastRowLastColumn="0"/>
            <w:tcW w:w="5807" w:type="dxa"/>
            <w:shd w:val="clear" w:color="auto" w:fill="FE2A48"/>
          </w:tcPr>
          <w:p w14:paraId="0EC3B5C2" w14:textId="77777777" w:rsidR="00E067B1" w:rsidRPr="007C5B29" w:rsidRDefault="00E067B1" w:rsidP="00C46205">
            <w:pPr>
              <w:jc w:val="both"/>
              <w:rPr>
                <w:rFonts w:ascii="Open Sans" w:hAnsi="Open Sans" w:cs="Open Sans"/>
                <w:color w:val="244061" w:themeColor="accent1" w:themeShade="80"/>
                <w:lang w:val="en-GB"/>
              </w:rPr>
            </w:pPr>
            <w:r w:rsidRPr="007C5B29">
              <w:rPr>
                <w:rFonts w:ascii="Open Sans" w:hAnsi="Open Sans" w:cs="Open Sans"/>
                <w:color w:val="244061" w:themeColor="accent1" w:themeShade="80"/>
                <w:lang w:val="en-GB"/>
              </w:rPr>
              <w:t>ID Indicator</w:t>
            </w:r>
          </w:p>
        </w:tc>
        <w:tc>
          <w:tcPr>
            <w:tcW w:w="2126" w:type="dxa"/>
            <w:shd w:val="clear" w:color="auto" w:fill="FE2A48"/>
          </w:tcPr>
          <w:p w14:paraId="05207B91" w14:textId="77777777" w:rsidR="00E067B1" w:rsidRPr="007C5B29" w:rsidRDefault="00E067B1" w:rsidP="00C46205">
            <w:pPr>
              <w:jc w:val="both"/>
              <w:cnfStyle w:val="100000000000" w:firstRow="1" w:lastRow="0" w:firstColumn="0" w:lastColumn="0" w:oddVBand="0" w:evenVBand="0" w:oddHBand="0" w:evenHBand="0" w:firstRowFirstColumn="0" w:firstRowLastColumn="0" w:lastRowFirstColumn="0" w:lastRowLastColumn="0"/>
              <w:rPr>
                <w:rFonts w:ascii="Open Sans" w:hAnsi="Open Sans" w:cs="Open Sans"/>
                <w:color w:val="244061" w:themeColor="accent1" w:themeShade="80"/>
                <w:lang w:val="en-GB"/>
              </w:rPr>
            </w:pPr>
            <w:r w:rsidRPr="007C5B29">
              <w:rPr>
                <w:rFonts w:ascii="Open Sans" w:hAnsi="Open Sans" w:cs="Open Sans"/>
                <w:color w:val="244061" w:themeColor="accent1" w:themeShade="80"/>
                <w:lang w:val="en-GB"/>
              </w:rPr>
              <w:t>Measurement unit</w:t>
            </w:r>
          </w:p>
        </w:tc>
        <w:tc>
          <w:tcPr>
            <w:tcW w:w="1625" w:type="dxa"/>
            <w:shd w:val="clear" w:color="auto" w:fill="FE2A48"/>
          </w:tcPr>
          <w:p w14:paraId="5A3DC712" w14:textId="188A7DFE" w:rsidR="00E067B1" w:rsidRPr="007C5B29" w:rsidRDefault="007F43EC" w:rsidP="00C46205">
            <w:pPr>
              <w:jc w:val="both"/>
              <w:cnfStyle w:val="100000000000" w:firstRow="1" w:lastRow="0" w:firstColumn="0" w:lastColumn="0" w:oddVBand="0" w:evenVBand="0" w:oddHBand="0" w:evenHBand="0" w:firstRowFirstColumn="0" w:firstRowLastColumn="0" w:lastRowFirstColumn="0" w:lastRowLastColumn="0"/>
              <w:rPr>
                <w:rFonts w:ascii="Open Sans" w:hAnsi="Open Sans" w:cs="Open Sans"/>
                <w:color w:val="244061" w:themeColor="accent1" w:themeShade="80"/>
                <w:lang w:val="en-GB"/>
              </w:rPr>
            </w:pPr>
            <w:r w:rsidRPr="007C5B29">
              <w:rPr>
                <w:rFonts w:ascii="Open Sans" w:hAnsi="Open Sans" w:cs="Open Sans"/>
                <w:color w:val="244061" w:themeColor="accent1" w:themeShade="80"/>
                <w:lang w:val="en-GB"/>
              </w:rPr>
              <w:t>Target value (2023)</w:t>
            </w:r>
          </w:p>
        </w:tc>
      </w:tr>
      <w:tr w:rsidR="007C5B29" w:rsidRPr="007C5B29" w14:paraId="1909129C" w14:textId="77777777" w:rsidTr="006748D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807" w:type="dxa"/>
            <w:tcBorders>
              <w:top w:val="none" w:sz="0" w:space="0" w:color="auto"/>
              <w:left w:val="none" w:sz="0" w:space="0" w:color="auto"/>
              <w:bottom w:val="none" w:sz="0" w:space="0" w:color="auto"/>
            </w:tcBorders>
          </w:tcPr>
          <w:p w14:paraId="2F2EC7D1" w14:textId="775E5EEA" w:rsidR="00E067B1" w:rsidRPr="007C5B29" w:rsidRDefault="009650BF" w:rsidP="004D297C">
            <w:pPr>
              <w:jc w:val="both"/>
              <w:rPr>
                <w:rFonts w:ascii="Open Sans" w:hAnsi="Open Sans" w:cs="Open Sans"/>
                <w:color w:val="244061" w:themeColor="accent1" w:themeShade="80"/>
                <w:lang w:val="en-GB"/>
              </w:rPr>
            </w:pPr>
            <w:r w:rsidRPr="007C5B29">
              <w:rPr>
                <w:rFonts w:ascii="Open Sans" w:hAnsi="Open Sans" w:cs="Open Sans"/>
                <w:color w:val="244061" w:themeColor="accent1" w:themeShade="80"/>
                <w:lang w:val="en-GB"/>
              </w:rPr>
              <w:t>5/b</w:t>
            </w:r>
            <w:r w:rsidR="001C4125" w:rsidRPr="007C5B29">
              <w:rPr>
                <w:rFonts w:ascii="Open Sans" w:hAnsi="Open Sans" w:cs="Open Sans"/>
                <w:color w:val="244061" w:themeColor="accent1" w:themeShade="80"/>
                <w:lang w:val="en-GB"/>
              </w:rPr>
              <w:t xml:space="preserve"> 1 </w:t>
            </w:r>
            <w:r w:rsidRPr="007C5B29">
              <w:rPr>
                <w:rFonts w:ascii="Open Sans" w:hAnsi="Open Sans" w:cs="Open Sans"/>
                <w:iCs/>
                <w:color w:val="244061" w:themeColor="accent1" w:themeShade="80"/>
                <w:lang w:val="en-GB"/>
              </w:rPr>
              <w:t>Population safeguarded by improved emergency response services (programme specific output indicator)</w:t>
            </w:r>
          </w:p>
        </w:tc>
        <w:tc>
          <w:tcPr>
            <w:tcW w:w="2126" w:type="dxa"/>
            <w:tcBorders>
              <w:top w:val="none" w:sz="0" w:space="0" w:color="auto"/>
              <w:bottom w:val="none" w:sz="0" w:space="0" w:color="auto"/>
            </w:tcBorders>
          </w:tcPr>
          <w:p w14:paraId="407820ED" w14:textId="77777777" w:rsidR="000300F6" w:rsidRPr="007C5B29" w:rsidRDefault="000300F6" w:rsidP="000300F6">
            <w:pPr>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b/>
                <w:color w:val="244061" w:themeColor="accent1" w:themeShade="80"/>
                <w:lang w:val="en-GB"/>
              </w:rPr>
            </w:pPr>
          </w:p>
          <w:p w14:paraId="30B45B1E" w14:textId="2170B2CC" w:rsidR="00E067B1" w:rsidRPr="007C5B29" w:rsidRDefault="00927E3E" w:rsidP="000300F6">
            <w:pPr>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b/>
                <w:color w:val="244061" w:themeColor="accent1" w:themeShade="80"/>
                <w:lang w:val="en-GB"/>
              </w:rPr>
            </w:pPr>
            <w:r w:rsidRPr="007C5B29">
              <w:rPr>
                <w:rFonts w:ascii="Open Sans" w:hAnsi="Open Sans" w:cs="Open Sans"/>
                <w:b/>
                <w:color w:val="244061" w:themeColor="accent1" w:themeShade="80"/>
                <w:lang w:val="en-GB"/>
              </w:rPr>
              <w:t>Number of people</w:t>
            </w:r>
          </w:p>
        </w:tc>
        <w:tc>
          <w:tcPr>
            <w:tcW w:w="1625" w:type="dxa"/>
            <w:tcBorders>
              <w:top w:val="none" w:sz="0" w:space="0" w:color="auto"/>
              <w:bottom w:val="none" w:sz="0" w:space="0" w:color="auto"/>
              <w:right w:val="none" w:sz="0" w:space="0" w:color="auto"/>
            </w:tcBorders>
          </w:tcPr>
          <w:p w14:paraId="5B940A99" w14:textId="77777777" w:rsidR="000300F6" w:rsidRPr="007C5B29" w:rsidRDefault="000300F6" w:rsidP="000300F6">
            <w:pPr>
              <w:pStyle w:val="Default"/>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b/>
                <w:iCs/>
                <w:color w:val="244061" w:themeColor="accent1" w:themeShade="80"/>
                <w:sz w:val="22"/>
                <w:szCs w:val="22"/>
                <w:lang w:val="en-GB"/>
              </w:rPr>
            </w:pPr>
          </w:p>
          <w:p w14:paraId="4BF1DF1C" w14:textId="250E17D9" w:rsidR="00E067B1" w:rsidRPr="007C5B29" w:rsidRDefault="00927E3E" w:rsidP="00C50B2A">
            <w:pPr>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b/>
                <w:color w:val="244061" w:themeColor="accent1" w:themeShade="80"/>
                <w:lang w:val="en-GB"/>
              </w:rPr>
            </w:pPr>
            <w:r w:rsidRPr="007C5B29">
              <w:rPr>
                <w:rFonts w:ascii="Open Sans" w:hAnsi="Open Sans" w:cs="Open Sans"/>
                <w:b/>
                <w:iCs/>
                <w:color w:val="244061" w:themeColor="accent1" w:themeShade="80"/>
                <w:lang w:val="en-GB"/>
              </w:rPr>
              <w:t>700</w:t>
            </w:r>
            <w:r w:rsidR="00C50B2A" w:rsidRPr="007C5B29">
              <w:rPr>
                <w:rFonts w:ascii="Open Sans" w:hAnsi="Open Sans" w:cs="Open Sans"/>
                <w:b/>
                <w:iCs/>
                <w:color w:val="244061" w:themeColor="accent1" w:themeShade="80"/>
                <w:lang w:val="en-GB"/>
              </w:rPr>
              <w:t>,</w:t>
            </w:r>
            <w:r w:rsidRPr="007C5B29">
              <w:rPr>
                <w:rFonts w:ascii="Open Sans" w:hAnsi="Open Sans" w:cs="Open Sans"/>
                <w:b/>
                <w:iCs/>
                <w:color w:val="244061" w:themeColor="accent1" w:themeShade="80"/>
                <w:lang w:val="en-GB"/>
              </w:rPr>
              <w:t>000</w:t>
            </w:r>
          </w:p>
        </w:tc>
      </w:tr>
    </w:tbl>
    <w:p w14:paraId="0E32AA1E" w14:textId="77777777" w:rsidR="0019464C" w:rsidRDefault="0019464C" w:rsidP="0019464C">
      <w:pPr>
        <w:spacing w:after="0"/>
        <w:jc w:val="both"/>
        <w:rPr>
          <w:rFonts w:ascii="Arial" w:hAnsi="Arial" w:cs="Arial"/>
          <w:b/>
          <w:lang w:val="en-GB"/>
        </w:rPr>
      </w:pPr>
    </w:p>
    <w:p w14:paraId="77262A53" w14:textId="77777777" w:rsidR="0019464C" w:rsidRPr="0019464C" w:rsidRDefault="0019464C" w:rsidP="0019464C">
      <w:pPr>
        <w:spacing w:after="0"/>
        <w:jc w:val="both"/>
        <w:rPr>
          <w:rFonts w:ascii="Open Sans" w:hAnsi="Open Sans" w:cs="Open Sans"/>
          <w:b/>
          <w:lang w:val="en-GB"/>
        </w:rPr>
      </w:pPr>
      <w:r w:rsidRPr="0019464C">
        <w:rPr>
          <w:rFonts w:ascii="Open Sans" w:hAnsi="Open Sans" w:cs="Open Sans"/>
          <w:b/>
          <w:lang w:val="en-GB"/>
        </w:rPr>
        <w:t xml:space="preserve">Considering the 100% financial allocation for the indicator </w:t>
      </w:r>
      <w:r w:rsidRPr="0019464C">
        <w:rPr>
          <w:rFonts w:ascii="Open Sans" w:hAnsi="Open Sans" w:cs="Open Sans"/>
          <w:b/>
          <w:i/>
          <w:lang w:val="en-GB"/>
        </w:rPr>
        <w:t xml:space="preserve">5/b1, </w:t>
      </w:r>
      <w:r w:rsidRPr="0019464C">
        <w:rPr>
          <w:rFonts w:ascii="Open Sans" w:hAnsi="Open Sans" w:cs="Open Sans"/>
          <w:b/>
          <w:iCs/>
          <w:lang w:val="en-GB"/>
        </w:rPr>
        <w:t xml:space="preserve">the total estimated cost per person is EUR 14.00 from total funds for this </w:t>
      </w:r>
      <w:proofErr w:type="spellStart"/>
      <w:r w:rsidRPr="0019464C">
        <w:rPr>
          <w:rFonts w:ascii="Open Sans" w:hAnsi="Open Sans" w:cs="Open Sans"/>
          <w:b/>
          <w:iCs/>
          <w:lang w:val="en-GB"/>
        </w:rPr>
        <w:t>Ip</w:t>
      </w:r>
      <w:proofErr w:type="spellEnd"/>
      <w:r w:rsidRPr="0019464C">
        <w:rPr>
          <w:rFonts w:ascii="Open Sans" w:hAnsi="Open Sans" w:cs="Open Sans"/>
          <w:b/>
          <w:i/>
          <w:iCs/>
          <w:lang w:val="en-GB"/>
        </w:rPr>
        <w:t xml:space="preserve">. This means that, no matter what your project involves in terms of activities or investments, each 14.00 euro spent will have to ensure at least 1 person positively affected by the interventions. </w:t>
      </w:r>
    </w:p>
    <w:p w14:paraId="7CCFFEE9" w14:textId="77777777" w:rsidR="0019464C" w:rsidRDefault="0019464C" w:rsidP="00230102">
      <w:pPr>
        <w:autoSpaceDE w:val="0"/>
        <w:autoSpaceDN w:val="0"/>
        <w:adjustRightInd w:val="0"/>
        <w:spacing w:after="120" w:line="240" w:lineRule="auto"/>
        <w:jc w:val="both"/>
        <w:rPr>
          <w:rFonts w:ascii="Open Sans" w:hAnsi="Open Sans" w:cs="Open Sans"/>
          <w:b/>
          <w:color w:val="244061" w:themeColor="accent1" w:themeShade="80"/>
          <w:lang w:val="en-GB"/>
        </w:rPr>
      </w:pPr>
    </w:p>
    <w:p w14:paraId="3366073E" w14:textId="45E9A37B" w:rsidR="00091910" w:rsidRPr="007C5B29" w:rsidRDefault="00C23631" w:rsidP="00230102">
      <w:pPr>
        <w:autoSpaceDE w:val="0"/>
        <w:autoSpaceDN w:val="0"/>
        <w:adjustRightInd w:val="0"/>
        <w:spacing w:after="120" w:line="240" w:lineRule="auto"/>
        <w:jc w:val="both"/>
        <w:rPr>
          <w:rFonts w:ascii="Open Sans" w:hAnsi="Open Sans" w:cs="Open Sans"/>
          <w:b/>
          <w:color w:val="244061" w:themeColor="accent1" w:themeShade="80"/>
          <w:lang w:val="en-GB"/>
        </w:rPr>
      </w:pPr>
      <w:r w:rsidRPr="007C5B29">
        <w:rPr>
          <w:rFonts w:ascii="Open Sans" w:hAnsi="Open Sans" w:cs="Open Sans"/>
          <w:b/>
          <w:color w:val="244061" w:themeColor="accent1" w:themeShade="80"/>
          <w:lang w:val="en-GB"/>
        </w:rPr>
        <w:t xml:space="preserve">Definition </w:t>
      </w:r>
    </w:p>
    <w:p w14:paraId="00500DF0" w14:textId="77777777" w:rsidR="00230102" w:rsidRDefault="00BF21DE" w:rsidP="00230102">
      <w:pPr>
        <w:autoSpaceDE w:val="0"/>
        <w:autoSpaceDN w:val="0"/>
        <w:adjustRightInd w:val="0"/>
        <w:spacing w:before="120" w:after="120"/>
        <w:jc w:val="both"/>
        <w:rPr>
          <w:rFonts w:ascii="Open Sans" w:hAnsi="Open Sans" w:cs="Open Sans"/>
          <w:color w:val="244061" w:themeColor="accent1" w:themeShade="80"/>
          <w:lang w:val="en-GB"/>
        </w:rPr>
      </w:pPr>
      <w:r w:rsidRPr="007C5B29">
        <w:rPr>
          <w:rFonts w:ascii="Open Sans" w:hAnsi="Open Sans" w:cs="Open Sans"/>
          <w:color w:val="244061" w:themeColor="accent1" w:themeShade="80"/>
          <w:lang w:val="en-GB"/>
        </w:rPr>
        <w:t>The output indicator proposed here measures the population safeguarded by improved emergency response services. Although this is a programme specific output indicator, it follows the logic of similar common output indicator (like for instance “Population covered by improved health services”). This indicator measures the population of a certain area expected to benefit from / safeguarded by improved emergency response services supported by the project (to be measured after project completion). It includes new or improved infrastructure, buildings, facilities or new equipment and even developed coordination or protocols for emergency response services. The indicator has to exclude multiple counting even if the intervention benefits more services targeting the same persons: one person still counts as one even if that person may use several services which were</w:t>
      </w:r>
      <w:r w:rsidR="00230102">
        <w:rPr>
          <w:rFonts w:ascii="Open Sans" w:hAnsi="Open Sans" w:cs="Open Sans"/>
          <w:color w:val="244061" w:themeColor="accent1" w:themeShade="80"/>
          <w:lang w:val="en-GB"/>
        </w:rPr>
        <w:t xml:space="preserve"> supported by Structural Funds.</w:t>
      </w:r>
    </w:p>
    <w:p w14:paraId="2E710FE8" w14:textId="1A336E28" w:rsidR="00BF21DE" w:rsidRPr="007C5B29" w:rsidRDefault="00BF21DE" w:rsidP="00230102">
      <w:pPr>
        <w:autoSpaceDE w:val="0"/>
        <w:autoSpaceDN w:val="0"/>
        <w:adjustRightInd w:val="0"/>
        <w:spacing w:before="120" w:after="120"/>
        <w:jc w:val="both"/>
        <w:rPr>
          <w:rFonts w:ascii="Open Sans" w:hAnsi="Open Sans" w:cs="Open Sans"/>
          <w:color w:val="244061" w:themeColor="accent1" w:themeShade="80"/>
          <w:lang w:val="en-GB"/>
        </w:rPr>
      </w:pPr>
      <w:r w:rsidRPr="007C5B29">
        <w:rPr>
          <w:rFonts w:ascii="Open Sans" w:hAnsi="Open Sans" w:cs="Open Sans"/>
          <w:color w:val="244061" w:themeColor="accent1" w:themeShade="80"/>
          <w:lang w:val="en-GB"/>
        </w:rPr>
        <w:lastRenderedPageBreak/>
        <w:t>The population covered is counted based on the official service area of the given emergency response facilities.</w:t>
      </w:r>
    </w:p>
    <w:p w14:paraId="60339C1B" w14:textId="2E24D818" w:rsidR="00BF21DE" w:rsidRPr="007C5B29" w:rsidRDefault="00BF21DE" w:rsidP="00230102">
      <w:pPr>
        <w:autoSpaceDE w:val="0"/>
        <w:autoSpaceDN w:val="0"/>
        <w:adjustRightInd w:val="0"/>
        <w:spacing w:after="0"/>
        <w:jc w:val="both"/>
        <w:rPr>
          <w:rFonts w:ascii="Open Sans" w:hAnsi="Open Sans" w:cs="Open Sans"/>
          <w:color w:val="244061" w:themeColor="accent1" w:themeShade="80"/>
          <w:lang w:val="en-GB"/>
        </w:rPr>
      </w:pPr>
      <w:r w:rsidRPr="007C5B29">
        <w:rPr>
          <w:rFonts w:ascii="Open Sans" w:hAnsi="Open Sans" w:cs="Open Sans"/>
          <w:color w:val="244061" w:themeColor="accent1" w:themeShade="80"/>
          <w:lang w:val="en-GB"/>
        </w:rPr>
        <w:t>The specifi</w:t>
      </w:r>
      <w:r w:rsidR="008F587C">
        <w:rPr>
          <w:rFonts w:ascii="Open Sans" w:hAnsi="Open Sans" w:cs="Open Sans"/>
          <w:color w:val="244061" w:themeColor="accent1" w:themeShade="80"/>
          <w:lang w:val="en-GB"/>
        </w:rPr>
        <w:t xml:space="preserve">c objective under this </w:t>
      </w:r>
      <w:proofErr w:type="spellStart"/>
      <w:r w:rsidR="008F587C">
        <w:rPr>
          <w:rFonts w:ascii="Open Sans" w:hAnsi="Open Sans" w:cs="Open Sans"/>
          <w:color w:val="244061" w:themeColor="accent1" w:themeShade="80"/>
          <w:lang w:val="en-GB"/>
        </w:rPr>
        <w:t>Ip</w:t>
      </w:r>
      <w:proofErr w:type="spellEnd"/>
      <w:r w:rsidRPr="007C5B29">
        <w:rPr>
          <w:rFonts w:ascii="Open Sans" w:hAnsi="Open Sans" w:cs="Open Sans"/>
          <w:color w:val="244061" w:themeColor="accent1" w:themeShade="80"/>
          <w:lang w:val="en-GB"/>
        </w:rPr>
        <w:t xml:space="preserve"> is “Improved cross-border disasters and risk management”. The actions foreseen are aimed at improving the infrastructural, equipment and human conditions of institutions involved in emergency response activities, which, as a result, are able to provide better services and better safeguard the population. The output indicator measure the coverage – the population covered – of the institutions developed, so the number of people potentially affected by the improvements.</w:t>
      </w:r>
    </w:p>
    <w:p w14:paraId="50BB95F4" w14:textId="62495E86" w:rsidR="00F051AD" w:rsidRPr="007C5B29" w:rsidRDefault="00F051AD" w:rsidP="00230102">
      <w:pPr>
        <w:autoSpaceDE w:val="0"/>
        <w:autoSpaceDN w:val="0"/>
        <w:adjustRightInd w:val="0"/>
        <w:spacing w:before="120" w:after="120" w:line="240" w:lineRule="auto"/>
        <w:jc w:val="both"/>
        <w:rPr>
          <w:rFonts w:ascii="Open Sans" w:hAnsi="Open Sans" w:cs="Open Sans"/>
          <w:color w:val="244061" w:themeColor="accent1" w:themeShade="80"/>
          <w:lang w:val="en-GB"/>
        </w:rPr>
      </w:pPr>
      <w:r w:rsidRPr="007C5B29">
        <w:rPr>
          <w:rFonts w:ascii="Open Sans" w:hAnsi="Open Sans" w:cs="Open Sans"/>
          <w:b/>
          <w:color w:val="244061" w:themeColor="accent1" w:themeShade="80"/>
          <w:lang w:val="en-GB"/>
        </w:rPr>
        <w:t>I</w:t>
      </w:r>
      <w:r w:rsidR="00C23631" w:rsidRPr="007C5B29">
        <w:rPr>
          <w:rFonts w:ascii="Open Sans" w:hAnsi="Open Sans" w:cs="Open Sans"/>
          <w:b/>
          <w:color w:val="244061" w:themeColor="accent1" w:themeShade="80"/>
          <w:lang w:val="en-GB"/>
        </w:rPr>
        <w:t>t is important to</w:t>
      </w:r>
      <w:r w:rsidRPr="007C5B29">
        <w:rPr>
          <w:rFonts w:ascii="Open Sans" w:hAnsi="Open Sans" w:cs="Open Sans"/>
          <w:b/>
          <w:color w:val="244061" w:themeColor="accent1" w:themeShade="80"/>
          <w:lang w:val="en-GB"/>
        </w:rPr>
        <w:t xml:space="preserve"> take into account</w:t>
      </w:r>
      <w:r w:rsidR="00C23631" w:rsidRPr="007C5B29">
        <w:rPr>
          <w:rFonts w:ascii="Open Sans" w:hAnsi="Open Sans" w:cs="Open Sans"/>
          <w:color w:val="244061" w:themeColor="accent1" w:themeShade="80"/>
          <w:lang w:val="en-GB"/>
        </w:rPr>
        <w:t xml:space="preserve">: </w:t>
      </w:r>
    </w:p>
    <w:p w14:paraId="3F7DCE64" w14:textId="77777777" w:rsidR="00BF21DE" w:rsidRPr="007C5B29" w:rsidRDefault="00BF21DE" w:rsidP="002B6BE4">
      <w:pPr>
        <w:pStyle w:val="ListParagraph"/>
        <w:numPr>
          <w:ilvl w:val="0"/>
          <w:numId w:val="65"/>
        </w:numPr>
        <w:autoSpaceDE w:val="0"/>
        <w:autoSpaceDN w:val="0"/>
        <w:adjustRightInd w:val="0"/>
        <w:spacing w:after="0"/>
        <w:jc w:val="both"/>
        <w:rPr>
          <w:rFonts w:ascii="Open Sans" w:hAnsi="Open Sans" w:cs="Open Sans"/>
          <w:color w:val="244061" w:themeColor="accent1" w:themeShade="80"/>
          <w:lang w:val="en-GB"/>
        </w:rPr>
      </w:pPr>
      <w:r w:rsidRPr="007C5B29">
        <w:rPr>
          <w:rFonts w:ascii="Open Sans" w:hAnsi="Open Sans" w:cs="Open Sans"/>
          <w:color w:val="244061" w:themeColor="accent1" w:themeShade="80"/>
          <w:lang w:val="en-GB"/>
        </w:rPr>
        <w:t>the projects – proportionate to their size – need to improve emergency response services for at least a certain population (in line with the expectation presented above);</w:t>
      </w:r>
    </w:p>
    <w:p w14:paraId="586399E2" w14:textId="27503F2E" w:rsidR="00BF21DE" w:rsidRPr="007C5B29" w:rsidRDefault="00BF21DE" w:rsidP="002B6BE4">
      <w:pPr>
        <w:pStyle w:val="ListParagraph"/>
        <w:numPr>
          <w:ilvl w:val="0"/>
          <w:numId w:val="65"/>
        </w:numPr>
        <w:autoSpaceDE w:val="0"/>
        <w:autoSpaceDN w:val="0"/>
        <w:adjustRightInd w:val="0"/>
        <w:spacing w:after="0"/>
        <w:jc w:val="both"/>
        <w:rPr>
          <w:rFonts w:ascii="Open Sans" w:hAnsi="Open Sans" w:cs="Open Sans"/>
          <w:color w:val="244061" w:themeColor="accent1" w:themeShade="80"/>
          <w:lang w:val="en-GB"/>
        </w:rPr>
      </w:pPr>
      <w:r w:rsidRPr="007C5B29">
        <w:rPr>
          <w:rFonts w:ascii="Open Sans" w:hAnsi="Open Sans" w:cs="Open Sans"/>
          <w:color w:val="244061" w:themeColor="accent1" w:themeShade="80"/>
          <w:lang w:val="en-GB"/>
        </w:rPr>
        <w:t>the emergency response services improved need to be sustained also beyond the project duration;</w:t>
      </w:r>
    </w:p>
    <w:p w14:paraId="043A2BFF" w14:textId="0155152C" w:rsidR="00B86ADA" w:rsidRPr="00230102" w:rsidRDefault="00BF21DE" w:rsidP="00230102">
      <w:pPr>
        <w:pStyle w:val="ListParagraph"/>
        <w:numPr>
          <w:ilvl w:val="0"/>
          <w:numId w:val="65"/>
        </w:numPr>
        <w:autoSpaceDE w:val="0"/>
        <w:autoSpaceDN w:val="0"/>
        <w:adjustRightInd w:val="0"/>
        <w:spacing w:after="120"/>
        <w:jc w:val="both"/>
        <w:rPr>
          <w:rFonts w:ascii="Open Sans" w:hAnsi="Open Sans" w:cs="Open Sans"/>
          <w:color w:val="244061" w:themeColor="accent1" w:themeShade="80"/>
          <w:lang w:val="en-GB"/>
        </w:rPr>
      </w:pPr>
      <w:proofErr w:type="gramStart"/>
      <w:r w:rsidRPr="007C5B29">
        <w:rPr>
          <w:rFonts w:ascii="Open Sans" w:hAnsi="Open Sans" w:cs="Open Sans"/>
          <w:color w:val="244061" w:themeColor="accent1" w:themeShade="80"/>
          <w:lang w:val="en-GB"/>
        </w:rPr>
        <w:t>the</w:t>
      </w:r>
      <w:proofErr w:type="gramEnd"/>
      <w:r w:rsidRPr="007C5B29">
        <w:rPr>
          <w:rFonts w:ascii="Open Sans" w:hAnsi="Open Sans" w:cs="Open Sans"/>
          <w:color w:val="244061" w:themeColor="accent1" w:themeShade="80"/>
          <w:lang w:val="en-GB"/>
        </w:rPr>
        <w:t xml:space="preserve"> interventions need to make a contribution towards the specific objective.</w:t>
      </w:r>
    </w:p>
    <w:p w14:paraId="227BFFEF" w14:textId="0577A427" w:rsidR="00D01C1E" w:rsidRPr="007C5B29" w:rsidRDefault="00D01C1E" w:rsidP="001576AC">
      <w:pPr>
        <w:shd w:val="clear" w:color="auto" w:fill="FE2A48"/>
        <w:jc w:val="both"/>
        <w:rPr>
          <w:rFonts w:ascii="Open Sans" w:hAnsi="Open Sans" w:cs="Open Sans"/>
          <w:b/>
          <w:color w:val="244061" w:themeColor="accent1" w:themeShade="80"/>
          <w:sz w:val="24"/>
          <w:szCs w:val="24"/>
          <w:lang w:val="en-GB"/>
        </w:rPr>
      </w:pPr>
      <w:r w:rsidRPr="007C5B29">
        <w:rPr>
          <w:rFonts w:ascii="Open Sans" w:hAnsi="Open Sans" w:cs="Open Sans"/>
          <w:b/>
          <w:color w:val="244061" w:themeColor="accent1" w:themeShade="80"/>
          <w:sz w:val="72"/>
          <w:szCs w:val="72"/>
          <w:lang w:val="en-GB"/>
        </w:rPr>
        <w:sym w:font="Wingdings" w:char="F03A"/>
      </w:r>
      <w:r w:rsidRPr="007C5B29">
        <w:rPr>
          <w:rFonts w:ascii="Open Sans" w:hAnsi="Open Sans" w:cs="Open Sans"/>
          <w:b/>
          <w:color w:val="244061" w:themeColor="accent1" w:themeShade="80"/>
          <w:sz w:val="24"/>
          <w:szCs w:val="24"/>
          <w:lang w:val="en-GB"/>
        </w:rPr>
        <w:t xml:space="preserve">Methodology for defining and calculating the </w:t>
      </w:r>
      <w:r w:rsidR="00381DED" w:rsidRPr="007C5B29">
        <w:rPr>
          <w:rFonts w:ascii="Open Sans" w:hAnsi="Open Sans" w:cs="Open Sans"/>
          <w:b/>
          <w:color w:val="244061" w:themeColor="accent1" w:themeShade="80"/>
          <w:sz w:val="24"/>
          <w:szCs w:val="24"/>
          <w:lang w:val="en-GB"/>
        </w:rPr>
        <w:t>RESULT</w:t>
      </w:r>
      <w:r w:rsidRPr="007C5B29">
        <w:rPr>
          <w:rFonts w:ascii="Open Sans" w:hAnsi="Open Sans" w:cs="Open Sans"/>
          <w:b/>
          <w:color w:val="244061" w:themeColor="accent1" w:themeShade="80"/>
          <w:sz w:val="24"/>
          <w:szCs w:val="24"/>
          <w:lang w:val="en-GB"/>
        </w:rPr>
        <w:t xml:space="preserve"> indicators:</w:t>
      </w:r>
    </w:p>
    <w:p w14:paraId="52EFDDE1" w14:textId="4E8A22ED" w:rsidR="00581276" w:rsidRPr="007C5B29" w:rsidRDefault="00581276" w:rsidP="00230102">
      <w:pPr>
        <w:pStyle w:val="Default"/>
        <w:spacing w:before="120" w:after="120" w:line="276" w:lineRule="auto"/>
        <w:jc w:val="both"/>
        <w:rPr>
          <w:rFonts w:ascii="Open Sans" w:hAnsi="Open Sans" w:cs="Open Sans"/>
          <w:b/>
          <w:iCs/>
          <w:color w:val="244061" w:themeColor="accent1" w:themeShade="80"/>
          <w:sz w:val="22"/>
          <w:szCs w:val="22"/>
          <w:lang w:val="en-GB"/>
        </w:rPr>
      </w:pPr>
      <w:r w:rsidRPr="007C5B29">
        <w:rPr>
          <w:rFonts w:ascii="Open Sans" w:hAnsi="Open Sans" w:cs="Open Sans"/>
          <w:b/>
          <w:iCs/>
          <w:color w:val="244061" w:themeColor="accent1" w:themeShade="80"/>
          <w:sz w:val="22"/>
          <w:szCs w:val="22"/>
          <w:lang w:val="en-GB"/>
        </w:rPr>
        <w:t xml:space="preserve">It is mandatory to be mentioned in your application form, how the output indicators will contribute to the achievement of the result </w:t>
      </w:r>
      <w:r w:rsidR="008C59F1" w:rsidRPr="007C5B29">
        <w:rPr>
          <w:rFonts w:ascii="Open Sans" w:hAnsi="Open Sans" w:cs="Open Sans"/>
          <w:b/>
          <w:iCs/>
          <w:color w:val="244061" w:themeColor="accent1" w:themeShade="80"/>
          <w:sz w:val="22"/>
          <w:szCs w:val="22"/>
          <w:lang w:val="en-GB"/>
        </w:rPr>
        <w:t>indicators of</w:t>
      </w:r>
      <w:r w:rsidRPr="007C5B29">
        <w:rPr>
          <w:rFonts w:ascii="Open Sans" w:hAnsi="Open Sans" w:cs="Open Sans"/>
          <w:b/>
          <w:iCs/>
          <w:color w:val="244061" w:themeColor="accent1" w:themeShade="80"/>
          <w:sz w:val="22"/>
          <w:szCs w:val="22"/>
          <w:lang w:val="en-GB"/>
        </w:rPr>
        <w:t xml:space="preserve"> the programme. </w:t>
      </w:r>
      <w:r w:rsidR="008F587C">
        <w:rPr>
          <w:rFonts w:ascii="Open Sans" w:hAnsi="Open Sans" w:cs="Open Sans"/>
          <w:b/>
          <w:iCs/>
          <w:color w:val="244061" w:themeColor="accent1" w:themeShade="80"/>
          <w:sz w:val="22"/>
          <w:szCs w:val="22"/>
          <w:lang w:val="en-GB"/>
        </w:rPr>
        <w:t xml:space="preserve">The result indicator for this </w:t>
      </w:r>
      <w:proofErr w:type="spellStart"/>
      <w:r w:rsidR="008F587C">
        <w:rPr>
          <w:rFonts w:ascii="Open Sans" w:hAnsi="Open Sans" w:cs="Open Sans"/>
          <w:b/>
          <w:iCs/>
          <w:color w:val="244061" w:themeColor="accent1" w:themeShade="80"/>
          <w:sz w:val="22"/>
          <w:szCs w:val="22"/>
          <w:lang w:val="en-GB"/>
        </w:rPr>
        <w:t>Ip</w:t>
      </w:r>
      <w:proofErr w:type="spellEnd"/>
      <w:r w:rsidRPr="007C5B29">
        <w:rPr>
          <w:rFonts w:ascii="Open Sans" w:hAnsi="Open Sans" w:cs="Open Sans"/>
          <w:b/>
          <w:iCs/>
          <w:color w:val="244061" w:themeColor="accent1" w:themeShade="80"/>
          <w:sz w:val="22"/>
          <w:szCs w:val="22"/>
          <w:lang w:val="en-GB"/>
        </w:rPr>
        <w:t xml:space="preserve"> is:</w:t>
      </w:r>
    </w:p>
    <w:tbl>
      <w:tblPr>
        <w:tblStyle w:val="TableGrid"/>
        <w:tblW w:w="9738" w:type="dxa"/>
        <w:tblLayout w:type="fixed"/>
        <w:tblLook w:val="04A0" w:firstRow="1" w:lastRow="0" w:firstColumn="1" w:lastColumn="0" w:noHBand="0" w:noVBand="1"/>
      </w:tblPr>
      <w:tblGrid>
        <w:gridCol w:w="1668"/>
        <w:gridCol w:w="1680"/>
        <w:gridCol w:w="990"/>
        <w:gridCol w:w="1170"/>
        <w:gridCol w:w="1121"/>
        <w:gridCol w:w="1669"/>
        <w:gridCol w:w="1440"/>
      </w:tblGrid>
      <w:tr w:rsidR="007C5B29" w:rsidRPr="007C5B29" w14:paraId="71DF2306" w14:textId="77777777" w:rsidTr="0070449D">
        <w:tc>
          <w:tcPr>
            <w:tcW w:w="1668" w:type="dxa"/>
            <w:shd w:val="clear" w:color="auto" w:fill="FF0000"/>
          </w:tcPr>
          <w:p w14:paraId="22FB58BB" w14:textId="0378702E" w:rsidR="00FC0241" w:rsidRPr="007C5B29" w:rsidRDefault="00FC0241" w:rsidP="00D01C1E">
            <w:pPr>
              <w:pStyle w:val="Default"/>
              <w:jc w:val="both"/>
              <w:rPr>
                <w:rFonts w:ascii="Open Sans" w:hAnsi="Open Sans" w:cs="Open Sans"/>
                <w:color w:val="244061" w:themeColor="accent1" w:themeShade="80"/>
                <w:sz w:val="22"/>
                <w:szCs w:val="22"/>
                <w:lang w:val="en-GB"/>
              </w:rPr>
            </w:pPr>
            <w:r w:rsidRPr="007C5B29">
              <w:rPr>
                <w:rFonts w:ascii="Open Sans" w:hAnsi="Open Sans" w:cs="Open Sans"/>
                <w:b/>
                <w:bCs/>
                <w:color w:val="244061" w:themeColor="accent1" w:themeShade="80"/>
                <w:sz w:val="22"/>
                <w:szCs w:val="22"/>
                <w:lang w:val="en-GB"/>
              </w:rPr>
              <w:t xml:space="preserve">Specific objective </w:t>
            </w:r>
          </w:p>
        </w:tc>
        <w:tc>
          <w:tcPr>
            <w:tcW w:w="8070" w:type="dxa"/>
            <w:gridSpan w:val="6"/>
            <w:shd w:val="clear" w:color="auto" w:fill="FF0000"/>
          </w:tcPr>
          <w:p w14:paraId="17AB94EB" w14:textId="528E56EE" w:rsidR="00FC0241" w:rsidRPr="007C5B29" w:rsidRDefault="006535D1" w:rsidP="00FC0241">
            <w:pPr>
              <w:pStyle w:val="Default"/>
              <w:jc w:val="both"/>
              <w:rPr>
                <w:rFonts w:ascii="Open Sans" w:hAnsi="Open Sans" w:cs="Open Sans"/>
                <w:color w:val="244061" w:themeColor="accent1" w:themeShade="80"/>
                <w:sz w:val="22"/>
                <w:szCs w:val="22"/>
                <w:lang w:val="en-GB"/>
              </w:rPr>
            </w:pPr>
            <w:r w:rsidRPr="007C5B29">
              <w:rPr>
                <w:rFonts w:ascii="Open Sans" w:hAnsi="Open Sans" w:cs="Open Sans"/>
                <w:b/>
                <w:bCs/>
                <w:color w:val="244061" w:themeColor="accent1" w:themeShade="80"/>
                <w:sz w:val="22"/>
                <w:szCs w:val="22"/>
                <w:lang w:val="en-GB"/>
              </w:rPr>
              <w:t>SO5</w:t>
            </w:r>
            <w:r w:rsidR="00C378A0" w:rsidRPr="007C5B29">
              <w:rPr>
                <w:rFonts w:ascii="Open Sans" w:hAnsi="Open Sans" w:cs="Open Sans"/>
                <w:b/>
                <w:bCs/>
                <w:color w:val="244061" w:themeColor="accent1" w:themeShade="80"/>
                <w:sz w:val="22"/>
                <w:szCs w:val="22"/>
                <w:lang w:val="en-GB"/>
              </w:rPr>
              <w:t>/b</w:t>
            </w:r>
            <w:r w:rsidR="00FC0241" w:rsidRPr="007C5B29">
              <w:rPr>
                <w:rFonts w:ascii="Open Sans" w:hAnsi="Open Sans" w:cs="Open Sans"/>
                <w:b/>
                <w:bCs/>
                <w:color w:val="244061" w:themeColor="accent1" w:themeShade="80"/>
                <w:sz w:val="22"/>
                <w:szCs w:val="22"/>
                <w:lang w:val="en-GB"/>
              </w:rPr>
              <w:t xml:space="preserve"> - </w:t>
            </w:r>
            <w:r w:rsidR="00B91A34" w:rsidRPr="007C5B29">
              <w:rPr>
                <w:rFonts w:ascii="Open Sans" w:hAnsi="Open Sans" w:cs="Open Sans"/>
                <w:b/>
                <w:bCs/>
                <w:color w:val="244061" w:themeColor="accent1" w:themeShade="80"/>
                <w:sz w:val="22"/>
                <w:szCs w:val="22"/>
                <w:lang w:val="en-GB"/>
              </w:rPr>
              <w:t>Improved cross-border disasters and risk management</w:t>
            </w:r>
          </w:p>
          <w:p w14:paraId="7A0A229F" w14:textId="77777777" w:rsidR="00FC0241" w:rsidRPr="007C5B29" w:rsidRDefault="00FC0241" w:rsidP="00D01C1E">
            <w:pPr>
              <w:pStyle w:val="Default"/>
              <w:jc w:val="both"/>
              <w:rPr>
                <w:rFonts w:ascii="Open Sans" w:hAnsi="Open Sans" w:cs="Open Sans"/>
                <w:b/>
                <w:iCs/>
                <w:color w:val="244061" w:themeColor="accent1" w:themeShade="80"/>
                <w:sz w:val="22"/>
                <w:szCs w:val="22"/>
                <w:lang w:val="en-GB"/>
              </w:rPr>
            </w:pPr>
          </w:p>
        </w:tc>
      </w:tr>
      <w:tr w:rsidR="007C5B29" w:rsidRPr="007C5B29" w14:paraId="10CA2D9B" w14:textId="77777777" w:rsidTr="0070449D">
        <w:tc>
          <w:tcPr>
            <w:tcW w:w="1668" w:type="dxa"/>
            <w:shd w:val="clear" w:color="auto" w:fill="E5B8B7" w:themeFill="accent2" w:themeFillTint="66"/>
          </w:tcPr>
          <w:p w14:paraId="45651DAB" w14:textId="77777777" w:rsidR="00FC0241" w:rsidRPr="007C5B29" w:rsidRDefault="00FC0241" w:rsidP="00FC0241">
            <w:pPr>
              <w:pStyle w:val="Default"/>
              <w:jc w:val="both"/>
              <w:rPr>
                <w:rFonts w:ascii="Open Sans" w:hAnsi="Open Sans" w:cs="Open Sans"/>
                <w:color w:val="244061" w:themeColor="accent1" w:themeShade="80"/>
                <w:sz w:val="22"/>
                <w:szCs w:val="22"/>
                <w:lang w:val="en-GB"/>
              </w:rPr>
            </w:pPr>
            <w:r w:rsidRPr="007C5B29">
              <w:rPr>
                <w:rFonts w:ascii="Open Sans" w:hAnsi="Open Sans" w:cs="Open Sans"/>
                <w:b/>
                <w:bCs/>
                <w:color w:val="244061" w:themeColor="accent1" w:themeShade="80"/>
                <w:sz w:val="22"/>
                <w:szCs w:val="22"/>
                <w:lang w:val="en-GB"/>
              </w:rPr>
              <w:t xml:space="preserve">Indicator </w:t>
            </w:r>
          </w:p>
          <w:p w14:paraId="184F815D" w14:textId="77777777" w:rsidR="00FC0241" w:rsidRPr="007C5B29" w:rsidRDefault="00FC0241" w:rsidP="00D01C1E">
            <w:pPr>
              <w:pStyle w:val="Default"/>
              <w:jc w:val="both"/>
              <w:rPr>
                <w:rFonts w:ascii="Open Sans" w:hAnsi="Open Sans" w:cs="Open Sans"/>
                <w:b/>
                <w:iCs/>
                <w:color w:val="244061" w:themeColor="accent1" w:themeShade="80"/>
                <w:sz w:val="22"/>
                <w:szCs w:val="22"/>
                <w:lang w:val="en-GB"/>
              </w:rPr>
            </w:pPr>
          </w:p>
        </w:tc>
        <w:tc>
          <w:tcPr>
            <w:tcW w:w="1680" w:type="dxa"/>
            <w:shd w:val="clear" w:color="auto" w:fill="E5B8B7" w:themeFill="accent2" w:themeFillTint="66"/>
          </w:tcPr>
          <w:p w14:paraId="3D227AB7" w14:textId="48E047A5" w:rsidR="00FC0241" w:rsidRPr="007C5B29" w:rsidRDefault="00FC0241" w:rsidP="00D01C1E">
            <w:pPr>
              <w:pStyle w:val="Default"/>
              <w:jc w:val="both"/>
              <w:rPr>
                <w:rFonts w:ascii="Open Sans" w:hAnsi="Open Sans" w:cs="Open Sans"/>
                <w:b/>
                <w:iCs/>
                <w:color w:val="244061" w:themeColor="accent1" w:themeShade="80"/>
                <w:sz w:val="22"/>
                <w:szCs w:val="22"/>
                <w:lang w:val="en-GB"/>
              </w:rPr>
            </w:pPr>
            <w:r w:rsidRPr="007C5B29">
              <w:rPr>
                <w:rFonts w:ascii="Open Sans" w:hAnsi="Open Sans" w:cs="Open Sans"/>
                <w:b/>
                <w:bCs/>
                <w:color w:val="244061" w:themeColor="accent1" w:themeShade="80"/>
                <w:sz w:val="22"/>
                <w:szCs w:val="22"/>
                <w:lang w:val="en-GB"/>
              </w:rPr>
              <w:t>Measure</w:t>
            </w:r>
            <w:r w:rsidR="00560722" w:rsidRPr="007C5B29">
              <w:rPr>
                <w:rFonts w:ascii="Open Sans" w:hAnsi="Open Sans" w:cs="Open Sans"/>
                <w:b/>
                <w:bCs/>
                <w:color w:val="244061" w:themeColor="accent1" w:themeShade="80"/>
                <w:sz w:val="22"/>
                <w:szCs w:val="22"/>
                <w:lang w:val="en-GB"/>
              </w:rPr>
              <w:t>-</w:t>
            </w:r>
            <w:proofErr w:type="spellStart"/>
            <w:r w:rsidRPr="007C5B29">
              <w:rPr>
                <w:rFonts w:ascii="Open Sans" w:hAnsi="Open Sans" w:cs="Open Sans"/>
                <w:b/>
                <w:bCs/>
                <w:color w:val="244061" w:themeColor="accent1" w:themeShade="80"/>
                <w:sz w:val="22"/>
                <w:szCs w:val="22"/>
                <w:lang w:val="en-GB"/>
              </w:rPr>
              <w:t>ment</w:t>
            </w:r>
            <w:proofErr w:type="spellEnd"/>
            <w:r w:rsidRPr="007C5B29">
              <w:rPr>
                <w:rFonts w:ascii="Open Sans" w:hAnsi="Open Sans" w:cs="Open Sans"/>
                <w:b/>
                <w:bCs/>
                <w:color w:val="244061" w:themeColor="accent1" w:themeShade="80"/>
                <w:sz w:val="22"/>
                <w:szCs w:val="22"/>
                <w:lang w:val="en-GB"/>
              </w:rPr>
              <w:t xml:space="preserve"> unit </w:t>
            </w:r>
          </w:p>
        </w:tc>
        <w:tc>
          <w:tcPr>
            <w:tcW w:w="990" w:type="dxa"/>
            <w:shd w:val="clear" w:color="auto" w:fill="E5B8B7" w:themeFill="accent2" w:themeFillTint="66"/>
          </w:tcPr>
          <w:p w14:paraId="6ECAA594" w14:textId="7A8D31AC" w:rsidR="00FC0241" w:rsidRPr="007C5B29" w:rsidRDefault="00FC0241" w:rsidP="00D01C1E">
            <w:pPr>
              <w:pStyle w:val="Default"/>
              <w:jc w:val="both"/>
              <w:rPr>
                <w:rFonts w:ascii="Open Sans" w:hAnsi="Open Sans" w:cs="Open Sans"/>
                <w:b/>
                <w:iCs/>
                <w:color w:val="244061" w:themeColor="accent1" w:themeShade="80"/>
                <w:sz w:val="22"/>
                <w:szCs w:val="22"/>
                <w:lang w:val="en-GB"/>
              </w:rPr>
            </w:pPr>
            <w:r w:rsidRPr="007C5B29">
              <w:rPr>
                <w:rFonts w:ascii="Open Sans" w:hAnsi="Open Sans" w:cs="Open Sans"/>
                <w:b/>
                <w:bCs/>
                <w:color w:val="244061" w:themeColor="accent1" w:themeShade="80"/>
                <w:sz w:val="22"/>
                <w:szCs w:val="22"/>
                <w:lang w:val="en-GB"/>
              </w:rPr>
              <w:t xml:space="preserve">Baseline value </w:t>
            </w:r>
          </w:p>
        </w:tc>
        <w:tc>
          <w:tcPr>
            <w:tcW w:w="1170" w:type="dxa"/>
            <w:shd w:val="clear" w:color="auto" w:fill="E5B8B7" w:themeFill="accent2" w:themeFillTint="66"/>
          </w:tcPr>
          <w:p w14:paraId="6F3F1C91" w14:textId="15B789F3" w:rsidR="00FC0241" w:rsidRPr="007C5B29" w:rsidRDefault="00FC0241" w:rsidP="00D01C1E">
            <w:pPr>
              <w:pStyle w:val="Default"/>
              <w:jc w:val="both"/>
              <w:rPr>
                <w:rFonts w:ascii="Open Sans" w:hAnsi="Open Sans" w:cs="Open Sans"/>
                <w:b/>
                <w:iCs/>
                <w:color w:val="244061" w:themeColor="accent1" w:themeShade="80"/>
                <w:sz w:val="22"/>
                <w:szCs w:val="22"/>
                <w:lang w:val="en-GB"/>
              </w:rPr>
            </w:pPr>
            <w:r w:rsidRPr="007C5B29">
              <w:rPr>
                <w:rFonts w:ascii="Open Sans" w:hAnsi="Open Sans" w:cs="Open Sans"/>
                <w:b/>
                <w:bCs/>
                <w:color w:val="244061" w:themeColor="accent1" w:themeShade="80"/>
                <w:sz w:val="22"/>
                <w:szCs w:val="22"/>
                <w:lang w:val="en-GB"/>
              </w:rPr>
              <w:t xml:space="preserve">Baseline year </w:t>
            </w:r>
          </w:p>
        </w:tc>
        <w:tc>
          <w:tcPr>
            <w:tcW w:w="1121" w:type="dxa"/>
            <w:shd w:val="clear" w:color="auto" w:fill="E5B8B7" w:themeFill="accent2" w:themeFillTint="66"/>
          </w:tcPr>
          <w:p w14:paraId="59B52254" w14:textId="77777777" w:rsidR="00560722" w:rsidRPr="007C5B29" w:rsidRDefault="00FC0241" w:rsidP="00D01C1E">
            <w:pPr>
              <w:pStyle w:val="Default"/>
              <w:jc w:val="both"/>
              <w:rPr>
                <w:rFonts w:ascii="Open Sans" w:hAnsi="Open Sans" w:cs="Open Sans"/>
                <w:b/>
                <w:bCs/>
                <w:color w:val="244061" w:themeColor="accent1" w:themeShade="80"/>
                <w:sz w:val="22"/>
                <w:szCs w:val="22"/>
                <w:lang w:val="en-GB"/>
              </w:rPr>
            </w:pPr>
            <w:r w:rsidRPr="007C5B29">
              <w:rPr>
                <w:rFonts w:ascii="Open Sans" w:hAnsi="Open Sans" w:cs="Open Sans"/>
                <w:b/>
                <w:bCs/>
                <w:color w:val="244061" w:themeColor="accent1" w:themeShade="80"/>
                <w:sz w:val="22"/>
                <w:szCs w:val="22"/>
                <w:lang w:val="en-GB"/>
              </w:rPr>
              <w:t xml:space="preserve">Target value </w:t>
            </w:r>
          </w:p>
          <w:p w14:paraId="6337E5FA" w14:textId="4283C938" w:rsidR="00FC0241" w:rsidRPr="007C5B29" w:rsidRDefault="00FC0241" w:rsidP="00D01C1E">
            <w:pPr>
              <w:pStyle w:val="Default"/>
              <w:jc w:val="both"/>
              <w:rPr>
                <w:rFonts w:ascii="Open Sans" w:hAnsi="Open Sans" w:cs="Open Sans"/>
                <w:b/>
                <w:iCs/>
                <w:color w:val="244061" w:themeColor="accent1" w:themeShade="80"/>
                <w:sz w:val="22"/>
                <w:szCs w:val="22"/>
                <w:lang w:val="en-GB"/>
              </w:rPr>
            </w:pPr>
            <w:r w:rsidRPr="007C5B29">
              <w:rPr>
                <w:rFonts w:ascii="Open Sans" w:hAnsi="Open Sans" w:cs="Open Sans"/>
                <w:b/>
                <w:bCs/>
                <w:color w:val="244061" w:themeColor="accent1" w:themeShade="80"/>
                <w:sz w:val="22"/>
                <w:szCs w:val="22"/>
                <w:lang w:val="en-GB"/>
              </w:rPr>
              <w:t xml:space="preserve">(2023) </w:t>
            </w:r>
          </w:p>
        </w:tc>
        <w:tc>
          <w:tcPr>
            <w:tcW w:w="1669" w:type="dxa"/>
            <w:shd w:val="clear" w:color="auto" w:fill="E5B8B7" w:themeFill="accent2" w:themeFillTint="66"/>
          </w:tcPr>
          <w:p w14:paraId="727E9909" w14:textId="0B918C26" w:rsidR="00FC0241" w:rsidRPr="007C5B29" w:rsidRDefault="00FC0241" w:rsidP="00D01C1E">
            <w:pPr>
              <w:pStyle w:val="Default"/>
              <w:jc w:val="both"/>
              <w:rPr>
                <w:rFonts w:ascii="Open Sans" w:hAnsi="Open Sans" w:cs="Open Sans"/>
                <w:b/>
                <w:iCs/>
                <w:color w:val="244061" w:themeColor="accent1" w:themeShade="80"/>
                <w:sz w:val="22"/>
                <w:szCs w:val="22"/>
                <w:lang w:val="en-GB"/>
              </w:rPr>
            </w:pPr>
            <w:r w:rsidRPr="007C5B29">
              <w:rPr>
                <w:rFonts w:ascii="Open Sans" w:hAnsi="Open Sans" w:cs="Open Sans"/>
                <w:b/>
                <w:bCs/>
                <w:color w:val="244061" w:themeColor="accent1" w:themeShade="80"/>
                <w:sz w:val="22"/>
                <w:szCs w:val="22"/>
                <w:lang w:val="en-GB"/>
              </w:rPr>
              <w:t xml:space="preserve">Source of data </w:t>
            </w:r>
          </w:p>
        </w:tc>
        <w:tc>
          <w:tcPr>
            <w:tcW w:w="1440" w:type="dxa"/>
            <w:shd w:val="clear" w:color="auto" w:fill="E5B8B7" w:themeFill="accent2" w:themeFillTint="66"/>
          </w:tcPr>
          <w:p w14:paraId="6FFBB3DD" w14:textId="77777777" w:rsidR="00560722" w:rsidRPr="007C5B29" w:rsidRDefault="00FC0241" w:rsidP="00D01C1E">
            <w:pPr>
              <w:pStyle w:val="Default"/>
              <w:jc w:val="both"/>
              <w:rPr>
                <w:rFonts w:ascii="Open Sans" w:hAnsi="Open Sans" w:cs="Open Sans"/>
                <w:b/>
                <w:bCs/>
                <w:color w:val="244061" w:themeColor="accent1" w:themeShade="80"/>
                <w:sz w:val="22"/>
                <w:szCs w:val="22"/>
                <w:lang w:val="en-GB"/>
              </w:rPr>
            </w:pPr>
            <w:r w:rsidRPr="007C5B29">
              <w:rPr>
                <w:rFonts w:ascii="Open Sans" w:hAnsi="Open Sans" w:cs="Open Sans"/>
                <w:b/>
                <w:bCs/>
                <w:color w:val="244061" w:themeColor="accent1" w:themeShade="80"/>
                <w:sz w:val="22"/>
                <w:szCs w:val="22"/>
                <w:lang w:val="en-GB"/>
              </w:rPr>
              <w:t xml:space="preserve">Frequency </w:t>
            </w:r>
          </w:p>
          <w:p w14:paraId="7DC1D9B7" w14:textId="1FE180BF" w:rsidR="00FC0241" w:rsidRPr="007C5B29" w:rsidRDefault="00560722" w:rsidP="00D01C1E">
            <w:pPr>
              <w:pStyle w:val="Default"/>
              <w:jc w:val="both"/>
              <w:rPr>
                <w:rFonts w:ascii="Open Sans" w:hAnsi="Open Sans" w:cs="Open Sans"/>
                <w:b/>
                <w:iCs/>
                <w:color w:val="244061" w:themeColor="accent1" w:themeShade="80"/>
                <w:sz w:val="22"/>
                <w:szCs w:val="22"/>
                <w:lang w:val="en-GB"/>
              </w:rPr>
            </w:pPr>
            <w:r w:rsidRPr="007C5B29">
              <w:rPr>
                <w:rFonts w:ascii="Open Sans" w:hAnsi="Open Sans" w:cs="Open Sans"/>
                <w:b/>
                <w:bCs/>
                <w:color w:val="244061" w:themeColor="accent1" w:themeShade="80"/>
                <w:sz w:val="22"/>
                <w:szCs w:val="22"/>
                <w:lang w:val="en-GB"/>
              </w:rPr>
              <w:t xml:space="preserve">     </w:t>
            </w:r>
            <w:r w:rsidR="00FC0241" w:rsidRPr="007C5B29">
              <w:rPr>
                <w:rFonts w:ascii="Open Sans" w:hAnsi="Open Sans" w:cs="Open Sans"/>
                <w:b/>
                <w:bCs/>
                <w:color w:val="244061" w:themeColor="accent1" w:themeShade="80"/>
                <w:sz w:val="22"/>
                <w:szCs w:val="22"/>
                <w:lang w:val="en-GB"/>
              </w:rPr>
              <w:t xml:space="preserve">of reporting </w:t>
            </w:r>
          </w:p>
        </w:tc>
      </w:tr>
      <w:tr w:rsidR="00FC0241" w:rsidRPr="007C5B29" w14:paraId="754FD696" w14:textId="77777777" w:rsidTr="0070449D">
        <w:tc>
          <w:tcPr>
            <w:tcW w:w="1668" w:type="dxa"/>
          </w:tcPr>
          <w:p w14:paraId="37444AFB" w14:textId="55B98D51" w:rsidR="00FC0241" w:rsidRPr="007C5B29" w:rsidRDefault="00B91A34" w:rsidP="00C378A0">
            <w:pPr>
              <w:pStyle w:val="Default"/>
              <w:jc w:val="both"/>
              <w:rPr>
                <w:rFonts w:ascii="Open Sans" w:hAnsi="Open Sans" w:cs="Open Sans"/>
                <w:b/>
                <w:iCs/>
                <w:color w:val="244061" w:themeColor="accent1" w:themeShade="80"/>
                <w:sz w:val="22"/>
                <w:szCs w:val="22"/>
                <w:lang w:val="en-GB"/>
              </w:rPr>
            </w:pPr>
            <w:r w:rsidRPr="007C5B29">
              <w:rPr>
                <w:rFonts w:ascii="Open Sans" w:hAnsi="Open Sans" w:cs="Open Sans"/>
                <w:color w:val="244061" w:themeColor="accent1" w:themeShade="80"/>
                <w:sz w:val="22"/>
                <w:szCs w:val="22"/>
                <w:lang w:val="en-GB"/>
              </w:rPr>
              <w:t>Quality of the joint risk management</w:t>
            </w:r>
          </w:p>
        </w:tc>
        <w:tc>
          <w:tcPr>
            <w:tcW w:w="1680" w:type="dxa"/>
          </w:tcPr>
          <w:p w14:paraId="51FD5773" w14:textId="3D149B6A" w:rsidR="00FC0241" w:rsidRPr="007C5B29" w:rsidRDefault="00B91A34" w:rsidP="00D01C1E">
            <w:pPr>
              <w:pStyle w:val="Default"/>
              <w:jc w:val="both"/>
              <w:rPr>
                <w:rFonts w:ascii="Open Sans" w:hAnsi="Open Sans" w:cs="Open Sans"/>
                <w:b/>
                <w:iCs/>
                <w:color w:val="244061" w:themeColor="accent1" w:themeShade="80"/>
                <w:sz w:val="22"/>
                <w:szCs w:val="22"/>
                <w:lang w:val="en-GB"/>
              </w:rPr>
            </w:pPr>
            <w:r w:rsidRPr="007C5B29">
              <w:rPr>
                <w:rFonts w:ascii="Open Sans" w:hAnsi="Open Sans" w:cs="Open Sans"/>
                <w:color w:val="244061" w:themeColor="accent1" w:themeShade="80"/>
                <w:sz w:val="22"/>
                <w:szCs w:val="22"/>
                <w:lang w:val="en-GB"/>
              </w:rPr>
              <w:t>Rate of preparedness</w:t>
            </w:r>
          </w:p>
        </w:tc>
        <w:tc>
          <w:tcPr>
            <w:tcW w:w="990" w:type="dxa"/>
          </w:tcPr>
          <w:p w14:paraId="7F10AF90" w14:textId="4CF224DB" w:rsidR="00FC0241" w:rsidRPr="007C5B29" w:rsidRDefault="00B91A34" w:rsidP="00B91A34">
            <w:pPr>
              <w:pStyle w:val="Default"/>
              <w:jc w:val="center"/>
              <w:rPr>
                <w:rFonts w:ascii="Open Sans" w:hAnsi="Open Sans" w:cs="Open Sans"/>
                <w:b/>
                <w:iCs/>
                <w:color w:val="244061" w:themeColor="accent1" w:themeShade="80"/>
                <w:sz w:val="22"/>
                <w:szCs w:val="22"/>
                <w:lang w:val="en-GB"/>
              </w:rPr>
            </w:pPr>
            <w:r w:rsidRPr="007C5B29">
              <w:rPr>
                <w:rFonts w:ascii="Open Sans" w:hAnsi="Open Sans" w:cs="Open Sans"/>
                <w:color w:val="244061" w:themeColor="accent1" w:themeShade="80"/>
                <w:sz w:val="22"/>
                <w:szCs w:val="22"/>
                <w:lang w:val="en-GB"/>
              </w:rPr>
              <w:t>3</w:t>
            </w:r>
            <w:r w:rsidR="00C378A0" w:rsidRPr="007C5B29">
              <w:rPr>
                <w:rFonts w:ascii="Open Sans" w:hAnsi="Open Sans" w:cs="Open Sans"/>
                <w:color w:val="244061" w:themeColor="accent1" w:themeShade="80"/>
                <w:sz w:val="22"/>
                <w:szCs w:val="22"/>
                <w:lang w:val="en-GB"/>
              </w:rPr>
              <w:t>.</w:t>
            </w:r>
            <w:r w:rsidRPr="007C5B29">
              <w:rPr>
                <w:rFonts w:ascii="Open Sans" w:hAnsi="Open Sans" w:cs="Open Sans"/>
                <w:color w:val="244061" w:themeColor="accent1" w:themeShade="80"/>
                <w:sz w:val="22"/>
                <w:szCs w:val="22"/>
                <w:lang w:val="en-GB"/>
              </w:rPr>
              <w:t>02</w:t>
            </w:r>
          </w:p>
        </w:tc>
        <w:tc>
          <w:tcPr>
            <w:tcW w:w="1170" w:type="dxa"/>
          </w:tcPr>
          <w:p w14:paraId="3E2C30E2" w14:textId="00D3FA6E" w:rsidR="00FC0241" w:rsidRPr="007C5B29" w:rsidRDefault="00B91A34" w:rsidP="0064491E">
            <w:pPr>
              <w:pStyle w:val="Default"/>
              <w:jc w:val="center"/>
              <w:rPr>
                <w:rFonts w:ascii="Open Sans" w:hAnsi="Open Sans" w:cs="Open Sans"/>
                <w:b/>
                <w:iCs/>
                <w:color w:val="244061" w:themeColor="accent1" w:themeShade="80"/>
                <w:sz w:val="22"/>
                <w:szCs w:val="22"/>
                <w:lang w:val="en-GB"/>
              </w:rPr>
            </w:pPr>
            <w:r w:rsidRPr="007C5B29">
              <w:rPr>
                <w:rFonts w:ascii="Open Sans" w:hAnsi="Open Sans" w:cs="Open Sans"/>
                <w:color w:val="244061" w:themeColor="accent1" w:themeShade="80"/>
                <w:sz w:val="22"/>
                <w:szCs w:val="22"/>
                <w:lang w:val="en-GB"/>
              </w:rPr>
              <w:t>2015</w:t>
            </w:r>
          </w:p>
        </w:tc>
        <w:tc>
          <w:tcPr>
            <w:tcW w:w="1121" w:type="dxa"/>
          </w:tcPr>
          <w:p w14:paraId="405C1476" w14:textId="7698C2FB" w:rsidR="00FC0241" w:rsidRPr="007C5B29" w:rsidRDefault="00B91A34" w:rsidP="00B91A34">
            <w:pPr>
              <w:pStyle w:val="Default"/>
              <w:jc w:val="center"/>
              <w:rPr>
                <w:rFonts w:ascii="Open Sans" w:hAnsi="Open Sans" w:cs="Open Sans"/>
                <w:b/>
                <w:iCs/>
                <w:color w:val="244061" w:themeColor="accent1" w:themeShade="80"/>
                <w:sz w:val="22"/>
                <w:szCs w:val="22"/>
                <w:lang w:val="en-GB"/>
              </w:rPr>
            </w:pPr>
            <w:r w:rsidRPr="007C5B29">
              <w:rPr>
                <w:rFonts w:ascii="Open Sans" w:hAnsi="Open Sans" w:cs="Open Sans"/>
                <w:color w:val="244061" w:themeColor="accent1" w:themeShade="80"/>
                <w:sz w:val="22"/>
                <w:szCs w:val="22"/>
                <w:lang w:val="en-GB"/>
              </w:rPr>
              <w:t>3</w:t>
            </w:r>
            <w:r w:rsidR="00C378A0" w:rsidRPr="007C5B29">
              <w:rPr>
                <w:rFonts w:ascii="Open Sans" w:hAnsi="Open Sans" w:cs="Open Sans"/>
                <w:color w:val="244061" w:themeColor="accent1" w:themeShade="80"/>
                <w:sz w:val="22"/>
                <w:szCs w:val="22"/>
                <w:lang w:val="en-GB"/>
              </w:rPr>
              <w:t>.</w:t>
            </w:r>
            <w:r w:rsidRPr="007C5B29">
              <w:rPr>
                <w:rFonts w:ascii="Open Sans" w:hAnsi="Open Sans" w:cs="Open Sans"/>
                <w:color w:val="244061" w:themeColor="accent1" w:themeShade="80"/>
                <w:sz w:val="22"/>
                <w:szCs w:val="22"/>
                <w:lang w:val="en-GB"/>
              </w:rPr>
              <w:t>19</w:t>
            </w:r>
          </w:p>
        </w:tc>
        <w:tc>
          <w:tcPr>
            <w:tcW w:w="1669" w:type="dxa"/>
          </w:tcPr>
          <w:p w14:paraId="2789BBD9" w14:textId="4EAFC675" w:rsidR="00FC0241" w:rsidRPr="007C5B29" w:rsidRDefault="00B91A34" w:rsidP="00D01C1E">
            <w:pPr>
              <w:pStyle w:val="Default"/>
              <w:jc w:val="both"/>
              <w:rPr>
                <w:rFonts w:ascii="Open Sans" w:hAnsi="Open Sans" w:cs="Open Sans"/>
                <w:b/>
                <w:iCs/>
                <w:color w:val="244061" w:themeColor="accent1" w:themeShade="80"/>
                <w:sz w:val="22"/>
                <w:szCs w:val="22"/>
                <w:lang w:val="en-GB"/>
              </w:rPr>
            </w:pPr>
            <w:r w:rsidRPr="007C5B29">
              <w:rPr>
                <w:rFonts w:ascii="Open Sans" w:hAnsi="Open Sans" w:cs="Open Sans"/>
                <w:color w:val="244061" w:themeColor="accent1" w:themeShade="80"/>
                <w:sz w:val="22"/>
                <w:szCs w:val="22"/>
                <w:lang w:val="en-GB"/>
              </w:rPr>
              <w:t>quantitative survey (scale of 5) among the relevant organisations responsible for disasters and risk management in the eligible area</w:t>
            </w:r>
          </w:p>
        </w:tc>
        <w:tc>
          <w:tcPr>
            <w:tcW w:w="1440" w:type="dxa"/>
          </w:tcPr>
          <w:p w14:paraId="45B48145" w14:textId="77777777" w:rsidR="00560722" w:rsidRPr="007C5B29" w:rsidRDefault="00560722" w:rsidP="00D01C1E">
            <w:pPr>
              <w:pStyle w:val="Default"/>
              <w:jc w:val="both"/>
              <w:rPr>
                <w:rFonts w:ascii="Open Sans" w:hAnsi="Open Sans" w:cs="Open Sans"/>
                <w:color w:val="244061" w:themeColor="accent1" w:themeShade="80"/>
                <w:sz w:val="22"/>
                <w:szCs w:val="22"/>
                <w:lang w:val="en-GB"/>
              </w:rPr>
            </w:pPr>
            <w:r w:rsidRPr="007C5B29">
              <w:rPr>
                <w:rFonts w:ascii="Open Sans" w:hAnsi="Open Sans" w:cs="Open Sans"/>
                <w:color w:val="244061" w:themeColor="accent1" w:themeShade="80"/>
                <w:sz w:val="22"/>
                <w:szCs w:val="22"/>
                <w:lang w:val="en-GB"/>
              </w:rPr>
              <w:t xml:space="preserve">   </w:t>
            </w:r>
            <w:r w:rsidR="00FC0241" w:rsidRPr="007C5B29">
              <w:rPr>
                <w:rFonts w:ascii="Open Sans" w:hAnsi="Open Sans" w:cs="Open Sans"/>
                <w:color w:val="244061" w:themeColor="accent1" w:themeShade="80"/>
                <w:sz w:val="22"/>
                <w:szCs w:val="22"/>
                <w:lang w:val="en-GB"/>
              </w:rPr>
              <w:t xml:space="preserve">2019, </w:t>
            </w:r>
          </w:p>
          <w:p w14:paraId="2914DF14" w14:textId="21368902" w:rsidR="00560722" w:rsidRPr="007C5B29" w:rsidRDefault="00560722" w:rsidP="00D01C1E">
            <w:pPr>
              <w:pStyle w:val="Default"/>
              <w:jc w:val="both"/>
              <w:rPr>
                <w:rFonts w:ascii="Open Sans" w:hAnsi="Open Sans" w:cs="Open Sans"/>
                <w:color w:val="244061" w:themeColor="accent1" w:themeShade="80"/>
                <w:sz w:val="22"/>
                <w:szCs w:val="22"/>
                <w:lang w:val="en-GB"/>
              </w:rPr>
            </w:pPr>
            <w:r w:rsidRPr="007C5B29">
              <w:rPr>
                <w:rFonts w:ascii="Open Sans" w:hAnsi="Open Sans" w:cs="Open Sans"/>
                <w:color w:val="244061" w:themeColor="accent1" w:themeShade="80"/>
                <w:sz w:val="22"/>
                <w:szCs w:val="22"/>
                <w:lang w:val="en-GB"/>
              </w:rPr>
              <w:t xml:space="preserve">   </w:t>
            </w:r>
            <w:r w:rsidR="00FC0241" w:rsidRPr="007C5B29">
              <w:rPr>
                <w:rFonts w:ascii="Open Sans" w:hAnsi="Open Sans" w:cs="Open Sans"/>
                <w:color w:val="244061" w:themeColor="accent1" w:themeShade="80"/>
                <w:sz w:val="22"/>
                <w:szCs w:val="22"/>
                <w:lang w:val="en-GB"/>
              </w:rPr>
              <w:t>2021,</w:t>
            </w:r>
          </w:p>
          <w:p w14:paraId="69F84A86" w14:textId="4432C700" w:rsidR="00FC0241" w:rsidRPr="007C5B29" w:rsidRDefault="00FC0241" w:rsidP="00D01C1E">
            <w:pPr>
              <w:pStyle w:val="Default"/>
              <w:jc w:val="both"/>
              <w:rPr>
                <w:rFonts w:ascii="Open Sans" w:hAnsi="Open Sans" w:cs="Open Sans"/>
                <w:b/>
                <w:iCs/>
                <w:color w:val="244061" w:themeColor="accent1" w:themeShade="80"/>
                <w:sz w:val="22"/>
                <w:szCs w:val="22"/>
                <w:lang w:val="en-GB"/>
              </w:rPr>
            </w:pPr>
            <w:r w:rsidRPr="007C5B29">
              <w:rPr>
                <w:rFonts w:ascii="Open Sans" w:hAnsi="Open Sans" w:cs="Open Sans"/>
                <w:color w:val="244061" w:themeColor="accent1" w:themeShade="80"/>
                <w:sz w:val="22"/>
                <w:szCs w:val="22"/>
                <w:lang w:val="en-GB"/>
              </w:rPr>
              <w:t xml:space="preserve"> </w:t>
            </w:r>
            <w:r w:rsidR="00560722" w:rsidRPr="007C5B29">
              <w:rPr>
                <w:rFonts w:ascii="Open Sans" w:hAnsi="Open Sans" w:cs="Open Sans"/>
                <w:color w:val="244061" w:themeColor="accent1" w:themeShade="80"/>
                <w:sz w:val="22"/>
                <w:szCs w:val="22"/>
                <w:lang w:val="en-GB"/>
              </w:rPr>
              <w:t xml:space="preserve">  </w:t>
            </w:r>
            <w:r w:rsidRPr="007C5B29">
              <w:rPr>
                <w:rFonts w:ascii="Open Sans" w:hAnsi="Open Sans" w:cs="Open Sans"/>
                <w:color w:val="244061" w:themeColor="accent1" w:themeShade="80"/>
                <w:sz w:val="22"/>
                <w:szCs w:val="22"/>
                <w:lang w:val="en-GB"/>
              </w:rPr>
              <w:t xml:space="preserve">2023 </w:t>
            </w:r>
          </w:p>
        </w:tc>
      </w:tr>
    </w:tbl>
    <w:p w14:paraId="65791479" w14:textId="2732F02F" w:rsidR="00D01C1E" w:rsidRPr="00293A7C" w:rsidRDefault="00D01C1E" w:rsidP="00293A7C">
      <w:pPr>
        <w:pStyle w:val="Default"/>
        <w:spacing w:before="120" w:after="120" w:line="276" w:lineRule="auto"/>
        <w:jc w:val="both"/>
        <w:rPr>
          <w:rFonts w:ascii="Open Sans" w:hAnsi="Open Sans" w:cs="Open Sans"/>
          <w:b/>
          <w:iCs/>
          <w:color w:val="244061" w:themeColor="accent1" w:themeShade="80"/>
          <w:sz w:val="22"/>
          <w:szCs w:val="22"/>
          <w:lang w:val="en-GB"/>
        </w:rPr>
      </w:pPr>
      <w:r w:rsidRPr="007C5B29">
        <w:rPr>
          <w:rFonts w:ascii="Open Sans" w:hAnsi="Open Sans" w:cs="Open Sans"/>
          <w:b/>
          <w:iCs/>
          <w:color w:val="244061" w:themeColor="accent1" w:themeShade="80"/>
          <w:sz w:val="22"/>
          <w:szCs w:val="22"/>
          <w:lang w:val="en-GB"/>
        </w:rPr>
        <w:t xml:space="preserve">Definition: </w:t>
      </w:r>
    </w:p>
    <w:p w14:paraId="219F94E8" w14:textId="77777777" w:rsidR="00B91A34" w:rsidRPr="007C5B29" w:rsidRDefault="00B91A34" w:rsidP="002B6BE4">
      <w:pPr>
        <w:pStyle w:val="Default"/>
        <w:spacing w:line="276" w:lineRule="auto"/>
        <w:jc w:val="both"/>
        <w:rPr>
          <w:rFonts w:ascii="Open Sans" w:hAnsi="Open Sans" w:cs="Open Sans"/>
          <w:color w:val="244061" w:themeColor="accent1" w:themeShade="80"/>
          <w:sz w:val="22"/>
          <w:szCs w:val="22"/>
          <w:lang w:val="en-GB"/>
        </w:rPr>
      </w:pPr>
      <w:r w:rsidRPr="007C5B29">
        <w:rPr>
          <w:rFonts w:ascii="Open Sans" w:hAnsi="Open Sans" w:cs="Open Sans"/>
          <w:color w:val="244061" w:themeColor="accent1" w:themeShade="80"/>
          <w:sz w:val="22"/>
          <w:szCs w:val="22"/>
          <w:lang w:val="en-GB"/>
        </w:rPr>
        <w:lastRenderedPageBreak/>
        <w:t>The proposed indicator measures the quality increase of the joint risk management, expressed in the rate of preparedness.</w:t>
      </w:r>
    </w:p>
    <w:p w14:paraId="0220505E" w14:textId="77777777" w:rsidR="00B91A34" w:rsidRPr="007C5B29" w:rsidRDefault="00B91A34" w:rsidP="002B6BE4">
      <w:pPr>
        <w:pStyle w:val="Default"/>
        <w:spacing w:line="276" w:lineRule="auto"/>
        <w:jc w:val="both"/>
        <w:rPr>
          <w:rFonts w:ascii="Open Sans" w:hAnsi="Open Sans" w:cs="Open Sans"/>
          <w:color w:val="244061" w:themeColor="accent1" w:themeShade="80"/>
          <w:sz w:val="22"/>
          <w:szCs w:val="22"/>
          <w:lang w:val="en-GB"/>
        </w:rPr>
      </w:pPr>
      <w:r w:rsidRPr="007C5B29">
        <w:rPr>
          <w:rFonts w:ascii="Open Sans" w:hAnsi="Open Sans" w:cs="Open Sans"/>
          <w:color w:val="244061" w:themeColor="accent1" w:themeShade="80"/>
          <w:sz w:val="22"/>
          <w:szCs w:val="22"/>
          <w:lang w:val="en-GB"/>
        </w:rPr>
        <w:t>Definition of preparedness: quality of the joint risk management is a straightforward indicator for improving cross border disaster and risk management services. The quality of the joint risk management will be defined by those organisations that have responsibility in the risk prevention and disaster management actions in the cross-border regions. The organisations assess their level of preparedness in the most relevant disaster and risk management actions and capacities, including:</w:t>
      </w:r>
    </w:p>
    <w:p w14:paraId="2CB7CF96" w14:textId="5F621911" w:rsidR="00B91A34" w:rsidRPr="007C5B29" w:rsidRDefault="00B91A34" w:rsidP="002B6BE4">
      <w:pPr>
        <w:pStyle w:val="Default"/>
        <w:numPr>
          <w:ilvl w:val="0"/>
          <w:numId w:val="71"/>
        </w:numPr>
        <w:spacing w:line="276" w:lineRule="auto"/>
        <w:jc w:val="both"/>
        <w:rPr>
          <w:rFonts w:ascii="Open Sans" w:hAnsi="Open Sans" w:cs="Open Sans"/>
          <w:color w:val="244061" w:themeColor="accent1" w:themeShade="80"/>
          <w:sz w:val="22"/>
          <w:szCs w:val="22"/>
          <w:lang w:val="en-GB"/>
        </w:rPr>
      </w:pPr>
      <w:r w:rsidRPr="007C5B29">
        <w:rPr>
          <w:rFonts w:ascii="Open Sans" w:hAnsi="Open Sans" w:cs="Open Sans"/>
          <w:color w:val="244061" w:themeColor="accent1" w:themeShade="80"/>
          <w:sz w:val="22"/>
          <w:szCs w:val="22"/>
          <w:lang w:val="en-GB"/>
        </w:rPr>
        <w:t>ability and equipment to forecast natural hazards and detect anthropic hazards,</w:t>
      </w:r>
    </w:p>
    <w:p w14:paraId="22A37222" w14:textId="506155DB" w:rsidR="00B91A34" w:rsidRPr="007C5B29" w:rsidRDefault="00B91A34" w:rsidP="002B6BE4">
      <w:pPr>
        <w:pStyle w:val="Default"/>
        <w:numPr>
          <w:ilvl w:val="0"/>
          <w:numId w:val="71"/>
        </w:numPr>
        <w:spacing w:line="276" w:lineRule="auto"/>
        <w:jc w:val="both"/>
        <w:rPr>
          <w:rFonts w:ascii="Open Sans" w:hAnsi="Open Sans" w:cs="Open Sans"/>
          <w:color w:val="244061" w:themeColor="accent1" w:themeShade="80"/>
          <w:sz w:val="22"/>
          <w:szCs w:val="22"/>
          <w:lang w:val="en-GB"/>
        </w:rPr>
      </w:pPr>
      <w:r w:rsidRPr="007C5B29">
        <w:rPr>
          <w:rFonts w:ascii="Open Sans" w:hAnsi="Open Sans" w:cs="Open Sans"/>
          <w:color w:val="244061" w:themeColor="accent1" w:themeShade="80"/>
          <w:sz w:val="22"/>
          <w:szCs w:val="22"/>
          <w:lang w:val="en-GB"/>
        </w:rPr>
        <w:t>status, condition of their equipment, tools and vehicles for disaster and risk prevention actions,</w:t>
      </w:r>
    </w:p>
    <w:p w14:paraId="735E3526" w14:textId="581D162A" w:rsidR="00B91A34" w:rsidRPr="007C5B29" w:rsidRDefault="00B91A34" w:rsidP="002B6BE4">
      <w:pPr>
        <w:pStyle w:val="Default"/>
        <w:numPr>
          <w:ilvl w:val="0"/>
          <w:numId w:val="71"/>
        </w:numPr>
        <w:spacing w:line="276" w:lineRule="auto"/>
        <w:jc w:val="both"/>
        <w:rPr>
          <w:rFonts w:ascii="Open Sans" w:hAnsi="Open Sans" w:cs="Open Sans"/>
          <w:color w:val="244061" w:themeColor="accent1" w:themeShade="80"/>
          <w:sz w:val="22"/>
          <w:szCs w:val="22"/>
          <w:lang w:val="en-GB"/>
        </w:rPr>
      </w:pPr>
      <w:r w:rsidRPr="007C5B29">
        <w:rPr>
          <w:rFonts w:ascii="Open Sans" w:hAnsi="Open Sans" w:cs="Open Sans"/>
          <w:color w:val="244061" w:themeColor="accent1" w:themeShade="80"/>
          <w:sz w:val="22"/>
          <w:szCs w:val="22"/>
          <w:lang w:val="en-GB"/>
        </w:rPr>
        <w:t>capacity and preparedness to inform and mobilise the population in case of emergency situations,</w:t>
      </w:r>
    </w:p>
    <w:p w14:paraId="0029F8DB" w14:textId="3D4AADA2" w:rsidR="00B91A34" w:rsidRPr="007C5B29" w:rsidRDefault="00B91A34" w:rsidP="00293A7C">
      <w:pPr>
        <w:pStyle w:val="Default"/>
        <w:numPr>
          <w:ilvl w:val="0"/>
          <w:numId w:val="71"/>
        </w:numPr>
        <w:spacing w:after="120" w:line="276" w:lineRule="auto"/>
        <w:jc w:val="both"/>
        <w:rPr>
          <w:rFonts w:ascii="Open Sans" w:hAnsi="Open Sans" w:cs="Open Sans"/>
          <w:color w:val="244061" w:themeColor="accent1" w:themeShade="80"/>
          <w:sz w:val="22"/>
          <w:szCs w:val="22"/>
          <w:lang w:val="en-GB"/>
        </w:rPr>
      </w:pPr>
      <w:proofErr w:type="gramStart"/>
      <w:r w:rsidRPr="007C5B29">
        <w:rPr>
          <w:rFonts w:ascii="Open Sans" w:hAnsi="Open Sans" w:cs="Open Sans"/>
          <w:color w:val="244061" w:themeColor="accent1" w:themeShade="80"/>
          <w:sz w:val="22"/>
          <w:szCs w:val="22"/>
          <w:lang w:val="en-GB"/>
        </w:rPr>
        <w:t>availability</w:t>
      </w:r>
      <w:proofErr w:type="gramEnd"/>
      <w:r w:rsidRPr="007C5B29">
        <w:rPr>
          <w:rFonts w:ascii="Open Sans" w:hAnsi="Open Sans" w:cs="Open Sans"/>
          <w:color w:val="244061" w:themeColor="accent1" w:themeShade="80"/>
          <w:sz w:val="22"/>
          <w:szCs w:val="22"/>
          <w:lang w:val="en-GB"/>
        </w:rPr>
        <w:t xml:space="preserve"> and implementation of risk and disaster management plans, protocols.</w:t>
      </w:r>
    </w:p>
    <w:p w14:paraId="4715CBC7" w14:textId="3BFE3D17" w:rsidR="00D65411" w:rsidRPr="00293A7C" w:rsidRDefault="00B91A34" w:rsidP="00293A7C">
      <w:pPr>
        <w:pStyle w:val="Default"/>
        <w:spacing w:after="120" w:line="276" w:lineRule="auto"/>
        <w:jc w:val="both"/>
        <w:rPr>
          <w:rFonts w:ascii="Open Sans" w:hAnsi="Open Sans" w:cs="Open Sans"/>
          <w:color w:val="244061" w:themeColor="accent1" w:themeShade="80"/>
          <w:sz w:val="22"/>
          <w:szCs w:val="22"/>
          <w:lang w:val="en-GB"/>
        </w:rPr>
      </w:pPr>
      <w:r w:rsidRPr="007C5B29">
        <w:rPr>
          <w:rFonts w:ascii="Open Sans" w:hAnsi="Open Sans" w:cs="Open Sans"/>
          <w:color w:val="244061" w:themeColor="accent1" w:themeShade="80"/>
          <w:sz w:val="22"/>
          <w:szCs w:val="22"/>
          <w:lang w:val="en-GB"/>
        </w:rPr>
        <w:t>The level of preparedness of the disasters and risk management services will be defined using a survey that provides data values enabling quantification.</w:t>
      </w:r>
    </w:p>
    <w:p w14:paraId="0B592214" w14:textId="77777777" w:rsidR="00E53784" w:rsidRPr="0019464C" w:rsidRDefault="00E53784" w:rsidP="001576AC">
      <w:pPr>
        <w:pStyle w:val="Default"/>
        <w:shd w:val="clear" w:color="auto" w:fill="FE2A48"/>
        <w:jc w:val="center"/>
        <w:rPr>
          <w:rFonts w:ascii="Open Sans" w:hAnsi="Open Sans" w:cs="Open Sans"/>
          <w:b/>
          <w:color w:val="244061" w:themeColor="accent1" w:themeShade="80"/>
          <w:sz w:val="22"/>
          <w:szCs w:val="22"/>
          <w:lang w:val="en-GB"/>
        </w:rPr>
      </w:pPr>
      <w:r w:rsidRPr="0019464C">
        <w:rPr>
          <w:rFonts w:ascii="Open Sans" w:hAnsi="Open Sans" w:cs="Open Sans"/>
          <w:b/>
          <w:color w:val="244061" w:themeColor="accent1" w:themeShade="80"/>
          <w:sz w:val="22"/>
          <w:szCs w:val="22"/>
          <w:lang w:val="en-GB"/>
        </w:rPr>
        <w:t xml:space="preserve">The method for the quantitative survey delivery among the relevant organisations responsible for disasters and risk management in the eligible area, is </w:t>
      </w:r>
    </w:p>
    <w:p w14:paraId="5967464E" w14:textId="55416D32" w:rsidR="00E53784" w:rsidRPr="0019464C" w:rsidRDefault="00747787" w:rsidP="00862ADF">
      <w:pPr>
        <w:pStyle w:val="Default"/>
        <w:shd w:val="clear" w:color="auto" w:fill="FE2A48"/>
        <w:jc w:val="center"/>
        <w:rPr>
          <w:rFonts w:ascii="Open Sans" w:hAnsi="Open Sans" w:cs="Open Sans"/>
          <w:color w:val="244061" w:themeColor="accent1" w:themeShade="80"/>
          <w:sz w:val="22"/>
          <w:szCs w:val="22"/>
          <w:lang w:val="en-GB"/>
        </w:rPr>
      </w:pPr>
      <w:proofErr w:type="gramStart"/>
      <w:r w:rsidRPr="0019464C">
        <w:rPr>
          <w:rFonts w:ascii="Open Sans" w:hAnsi="Open Sans" w:cs="Open Sans"/>
          <w:b/>
          <w:color w:val="244061" w:themeColor="accent1" w:themeShade="80"/>
          <w:sz w:val="22"/>
          <w:szCs w:val="22"/>
          <w:lang w:val="en-GB"/>
        </w:rPr>
        <w:t>w</w:t>
      </w:r>
      <w:r w:rsidR="00E53784" w:rsidRPr="0019464C">
        <w:rPr>
          <w:rFonts w:ascii="Open Sans" w:hAnsi="Open Sans" w:cs="Open Sans"/>
          <w:b/>
          <w:color w:val="244061" w:themeColor="accent1" w:themeShade="80"/>
          <w:sz w:val="22"/>
          <w:szCs w:val="22"/>
          <w:lang w:val="en-GB"/>
        </w:rPr>
        <w:t>eb-based</w:t>
      </w:r>
      <w:proofErr w:type="gramEnd"/>
      <w:r w:rsidR="00E53784" w:rsidRPr="0019464C">
        <w:rPr>
          <w:rFonts w:ascii="Open Sans" w:hAnsi="Open Sans" w:cs="Open Sans"/>
          <w:b/>
          <w:color w:val="244061" w:themeColor="accent1" w:themeShade="80"/>
          <w:sz w:val="22"/>
          <w:szCs w:val="22"/>
          <w:lang w:val="en-GB"/>
        </w:rPr>
        <w:t xml:space="preserve"> questionnaire.</w:t>
      </w:r>
    </w:p>
    <w:p w14:paraId="6121F6C9" w14:textId="77777777" w:rsidR="00B91A34" w:rsidRPr="007C5B29" w:rsidRDefault="00B91A34" w:rsidP="00293A7C">
      <w:pPr>
        <w:pStyle w:val="Default"/>
        <w:spacing w:before="120" w:after="120" w:line="276" w:lineRule="auto"/>
        <w:jc w:val="both"/>
        <w:rPr>
          <w:rFonts w:ascii="Open Sans" w:hAnsi="Open Sans" w:cs="Open Sans"/>
          <w:color w:val="244061" w:themeColor="accent1" w:themeShade="80"/>
          <w:sz w:val="22"/>
          <w:szCs w:val="22"/>
          <w:lang w:val="en-GB"/>
        </w:rPr>
      </w:pPr>
      <w:r w:rsidRPr="007C5B29">
        <w:rPr>
          <w:rFonts w:ascii="Open Sans" w:hAnsi="Open Sans" w:cs="Open Sans"/>
          <w:color w:val="244061" w:themeColor="accent1" w:themeShade="80"/>
          <w:sz w:val="22"/>
          <w:szCs w:val="22"/>
          <w:lang w:val="en-GB"/>
        </w:rPr>
        <w:t>Types of organisations having responsibility in risk prevention and disaster management activities in the eligible area are as follows:</w:t>
      </w:r>
    </w:p>
    <w:p w14:paraId="0CCAA572" w14:textId="7FEEE512" w:rsidR="00D01C1E" w:rsidRPr="007C5B29" w:rsidRDefault="00B91A34" w:rsidP="002B6BE4">
      <w:pPr>
        <w:pStyle w:val="Default"/>
        <w:numPr>
          <w:ilvl w:val="0"/>
          <w:numId w:val="72"/>
        </w:numPr>
        <w:spacing w:line="276" w:lineRule="auto"/>
        <w:jc w:val="both"/>
        <w:rPr>
          <w:rFonts w:ascii="Open Sans" w:hAnsi="Open Sans" w:cs="Open Sans"/>
          <w:color w:val="244061" w:themeColor="accent1" w:themeShade="80"/>
          <w:sz w:val="22"/>
          <w:szCs w:val="22"/>
          <w:lang w:val="en-GB"/>
        </w:rPr>
      </w:pPr>
      <w:r w:rsidRPr="007C5B29">
        <w:rPr>
          <w:rFonts w:ascii="Open Sans" w:hAnsi="Open Sans" w:cs="Open Sans"/>
          <w:color w:val="244061" w:themeColor="accent1" w:themeShade="80"/>
          <w:sz w:val="22"/>
          <w:szCs w:val="22"/>
          <w:lang w:val="en-GB"/>
        </w:rPr>
        <w:t>In Romania, all bodies that are members of the county level emergency response and disaster management committees;</w:t>
      </w:r>
    </w:p>
    <w:p w14:paraId="1A946D4B" w14:textId="593CA764" w:rsidR="00B91A34" w:rsidRPr="007C5B29" w:rsidRDefault="00B91A34" w:rsidP="002B6BE4">
      <w:pPr>
        <w:pStyle w:val="Default"/>
        <w:numPr>
          <w:ilvl w:val="0"/>
          <w:numId w:val="72"/>
        </w:numPr>
        <w:spacing w:line="276" w:lineRule="auto"/>
        <w:jc w:val="both"/>
        <w:rPr>
          <w:rFonts w:ascii="Open Sans" w:hAnsi="Open Sans" w:cs="Open Sans"/>
          <w:color w:val="244061" w:themeColor="accent1" w:themeShade="80"/>
          <w:sz w:val="22"/>
          <w:szCs w:val="22"/>
          <w:lang w:val="en-GB"/>
        </w:rPr>
      </w:pPr>
      <w:r w:rsidRPr="007C5B29">
        <w:rPr>
          <w:rFonts w:ascii="Open Sans" w:hAnsi="Open Sans" w:cs="Open Sans"/>
          <w:color w:val="244061" w:themeColor="accent1" w:themeShade="80"/>
          <w:sz w:val="22"/>
          <w:szCs w:val="22"/>
          <w:lang w:val="en-GB"/>
        </w:rPr>
        <w:t>In Hungary, disaster management and emergency response activities are organized in a more centralized manner. The following organizations - that are present on county level - have a clear responsibility in the field of disaster management and risk prevention:</w:t>
      </w:r>
    </w:p>
    <w:p w14:paraId="4B3190C4" w14:textId="1A837F49" w:rsidR="00B91A34" w:rsidRPr="007C5B29" w:rsidRDefault="00B91A34" w:rsidP="002B6BE4">
      <w:pPr>
        <w:pStyle w:val="Default"/>
        <w:numPr>
          <w:ilvl w:val="1"/>
          <w:numId w:val="72"/>
        </w:numPr>
        <w:spacing w:line="276" w:lineRule="auto"/>
        <w:jc w:val="both"/>
        <w:rPr>
          <w:rFonts w:ascii="Open Sans" w:hAnsi="Open Sans" w:cs="Open Sans"/>
          <w:color w:val="244061" w:themeColor="accent1" w:themeShade="80"/>
          <w:sz w:val="22"/>
          <w:szCs w:val="22"/>
          <w:lang w:val="en-GB"/>
        </w:rPr>
      </w:pPr>
      <w:r w:rsidRPr="007C5B29">
        <w:rPr>
          <w:rFonts w:ascii="Open Sans" w:hAnsi="Open Sans" w:cs="Open Sans"/>
          <w:color w:val="244061" w:themeColor="accent1" w:themeShade="80"/>
          <w:sz w:val="22"/>
          <w:szCs w:val="22"/>
          <w:lang w:val="en-GB"/>
        </w:rPr>
        <w:t>County level emergency response and disaster management directorates</w:t>
      </w:r>
    </w:p>
    <w:p w14:paraId="478B83B9" w14:textId="6F9B2EBA" w:rsidR="00B91A34" w:rsidRPr="007C5B29" w:rsidRDefault="00B91A34" w:rsidP="002B6BE4">
      <w:pPr>
        <w:pStyle w:val="Default"/>
        <w:numPr>
          <w:ilvl w:val="1"/>
          <w:numId w:val="72"/>
        </w:numPr>
        <w:spacing w:line="276" w:lineRule="auto"/>
        <w:jc w:val="both"/>
        <w:rPr>
          <w:rFonts w:ascii="Open Sans" w:hAnsi="Open Sans" w:cs="Open Sans"/>
          <w:color w:val="244061" w:themeColor="accent1" w:themeShade="80"/>
          <w:sz w:val="22"/>
          <w:szCs w:val="22"/>
          <w:lang w:val="en-GB"/>
        </w:rPr>
      </w:pPr>
      <w:r w:rsidRPr="007C5B29">
        <w:rPr>
          <w:rFonts w:ascii="Open Sans" w:hAnsi="Open Sans" w:cs="Open Sans"/>
          <w:color w:val="244061" w:themeColor="accent1" w:themeShade="80"/>
          <w:sz w:val="22"/>
          <w:szCs w:val="22"/>
          <w:lang w:val="en-GB"/>
        </w:rPr>
        <w:t>County level professional fire protection organisation</w:t>
      </w:r>
    </w:p>
    <w:p w14:paraId="4E4925D9" w14:textId="7C4449D2" w:rsidR="00B91A34" w:rsidRPr="007C5B29" w:rsidRDefault="00B91A34" w:rsidP="002B6BE4">
      <w:pPr>
        <w:pStyle w:val="Default"/>
        <w:numPr>
          <w:ilvl w:val="1"/>
          <w:numId w:val="72"/>
        </w:numPr>
        <w:spacing w:line="276" w:lineRule="auto"/>
        <w:jc w:val="both"/>
        <w:rPr>
          <w:rFonts w:ascii="Open Sans" w:hAnsi="Open Sans" w:cs="Open Sans"/>
          <w:color w:val="244061" w:themeColor="accent1" w:themeShade="80"/>
          <w:sz w:val="22"/>
          <w:szCs w:val="22"/>
          <w:lang w:val="en-GB"/>
        </w:rPr>
      </w:pPr>
      <w:r w:rsidRPr="007C5B29">
        <w:rPr>
          <w:rFonts w:ascii="Open Sans" w:hAnsi="Open Sans" w:cs="Open Sans"/>
          <w:color w:val="244061" w:themeColor="accent1" w:themeShade="80"/>
          <w:sz w:val="22"/>
          <w:szCs w:val="22"/>
          <w:lang w:val="en-GB"/>
        </w:rPr>
        <w:t>County level water management organisation</w:t>
      </w:r>
    </w:p>
    <w:p w14:paraId="673DE745" w14:textId="46C3957B" w:rsidR="00B91A34" w:rsidRPr="007C5B29" w:rsidRDefault="00B91A34" w:rsidP="002B6BE4">
      <w:pPr>
        <w:pStyle w:val="Default"/>
        <w:numPr>
          <w:ilvl w:val="1"/>
          <w:numId w:val="72"/>
        </w:numPr>
        <w:spacing w:line="276" w:lineRule="auto"/>
        <w:jc w:val="both"/>
        <w:rPr>
          <w:rFonts w:ascii="Open Sans" w:hAnsi="Open Sans" w:cs="Open Sans"/>
          <w:color w:val="244061" w:themeColor="accent1" w:themeShade="80"/>
          <w:sz w:val="22"/>
          <w:szCs w:val="22"/>
          <w:lang w:val="en-GB"/>
        </w:rPr>
      </w:pPr>
      <w:r w:rsidRPr="007C5B29">
        <w:rPr>
          <w:rFonts w:ascii="Open Sans" w:hAnsi="Open Sans" w:cs="Open Sans"/>
          <w:color w:val="244061" w:themeColor="accent1" w:themeShade="80"/>
          <w:sz w:val="22"/>
          <w:szCs w:val="22"/>
          <w:lang w:val="en-GB"/>
        </w:rPr>
        <w:t>County level ambulance organisation</w:t>
      </w:r>
    </w:p>
    <w:p w14:paraId="4CDE426B" w14:textId="2CB4B968" w:rsidR="00B91A34" w:rsidRPr="007C5B29" w:rsidRDefault="00B91A34" w:rsidP="002B6BE4">
      <w:pPr>
        <w:pStyle w:val="Default"/>
        <w:numPr>
          <w:ilvl w:val="1"/>
          <w:numId w:val="72"/>
        </w:numPr>
        <w:spacing w:line="276" w:lineRule="auto"/>
        <w:jc w:val="both"/>
        <w:rPr>
          <w:rFonts w:ascii="Open Sans" w:hAnsi="Open Sans" w:cs="Open Sans"/>
          <w:color w:val="244061" w:themeColor="accent1" w:themeShade="80"/>
          <w:sz w:val="22"/>
          <w:szCs w:val="22"/>
          <w:lang w:val="en-GB"/>
        </w:rPr>
      </w:pPr>
      <w:r w:rsidRPr="007C5B29">
        <w:rPr>
          <w:rFonts w:ascii="Open Sans" w:hAnsi="Open Sans" w:cs="Open Sans"/>
          <w:color w:val="244061" w:themeColor="accent1" w:themeShade="80"/>
          <w:sz w:val="22"/>
          <w:szCs w:val="22"/>
          <w:lang w:val="en-GB"/>
        </w:rPr>
        <w:t>Environmental protection institutions / agencies on county level</w:t>
      </w:r>
    </w:p>
    <w:p w14:paraId="05A6E27C" w14:textId="6349B10E" w:rsidR="00B91A34" w:rsidRPr="007C5B29" w:rsidRDefault="00B91A34" w:rsidP="002B6BE4">
      <w:pPr>
        <w:pStyle w:val="Default"/>
        <w:numPr>
          <w:ilvl w:val="1"/>
          <w:numId w:val="72"/>
        </w:numPr>
        <w:spacing w:line="276" w:lineRule="auto"/>
        <w:jc w:val="both"/>
        <w:rPr>
          <w:rFonts w:ascii="Open Sans" w:hAnsi="Open Sans" w:cs="Open Sans"/>
          <w:color w:val="244061" w:themeColor="accent1" w:themeShade="80"/>
          <w:sz w:val="22"/>
          <w:szCs w:val="22"/>
          <w:lang w:val="en-GB"/>
        </w:rPr>
      </w:pPr>
      <w:r w:rsidRPr="007C5B29">
        <w:rPr>
          <w:rFonts w:ascii="Open Sans" w:hAnsi="Open Sans" w:cs="Open Sans"/>
          <w:color w:val="244061" w:themeColor="accent1" w:themeShade="80"/>
          <w:sz w:val="22"/>
          <w:szCs w:val="22"/>
          <w:lang w:val="en-GB"/>
        </w:rPr>
        <w:t>County level road management (maintaining) organisation</w:t>
      </w:r>
    </w:p>
    <w:p w14:paraId="6E4B59D4" w14:textId="7E1C8DD0" w:rsidR="00B91A34" w:rsidRPr="007C5B29" w:rsidRDefault="00B91A34" w:rsidP="002B6BE4">
      <w:pPr>
        <w:pStyle w:val="Default"/>
        <w:numPr>
          <w:ilvl w:val="1"/>
          <w:numId w:val="72"/>
        </w:numPr>
        <w:spacing w:line="276" w:lineRule="auto"/>
        <w:jc w:val="both"/>
        <w:rPr>
          <w:rFonts w:ascii="Open Sans" w:hAnsi="Open Sans" w:cs="Open Sans"/>
          <w:color w:val="244061" w:themeColor="accent1" w:themeShade="80"/>
          <w:sz w:val="22"/>
          <w:szCs w:val="22"/>
          <w:lang w:val="en-GB"/>
        </w:rPr>
      </w:pPr>
      <w:r w:rsidRPr="007C5B29">
        <w:rPr>
          <w:rFonts w:ascii="Open Sans" w:hAnsi="Open Sans" w:cs="Open Sans"/>
          <w:color w:val="244061" w:themeColor="accent1" w:themeShade="80"/>
          <w:sz w:val="22"/>
          <w:szCs w:val="22"/>
          <w:lang w:val="en-GB"/>
        </w:rPr>
        <w:t>County Police</w:t>
      </w:r>
    </w:p>
    <w:p w14:paraId="1D6EA5ED" w14:textId="72514AA9" w:rsidR="00D01C1E" w:rsidRPr="00293A7C" w:rsidRDefault="00B91A34" w:rsidP="002B6BE4">
      <w:pPr>
        <w:pStyle w:val="Default"/>
        <w:numPr>
          <w:ilvl w:val="1"/>
          <w:numId w:val="72"/>
        </w:numPr>
        <w:spacing w:line="276" w:lineRule="auto"/>
        <w:jc w:val="both"/>
        <w:rPr>
          <w:rFonts w:ascii="Open Sans" w:hAnsi="Open Sans" w:cs="Open Sans"/>
          <w:color w:val="244061" w:themeColor="accent1" w:themeShade="80"/>
          <w:sz w:val="22"/>
          <w:szCs w:val="22"/>
          <w:lang w:val="en-GB"/>
        </w:rPr>
      </w:pPr>
      <w:r w:rsidRPr="007C5B29">
        <w:rPr>
          <w:rFonts w:ascii="Open Sans" w:hAnsi="Open Sans" w:cs="Open Sans"/>
          <w:color w:val="244061" w:themeColor="accent1" w:themeShade="80"/>
          <w:sz w:val="22"/>
          <w:szCs w:val="22"/>
          <w:lang w:val="en-GB"/>
        </w:rPr>
        <w:t>County level organization responsible for public health</w:t>
      </w:r>
      <w:r w:rsidR="00D2703B" w:rsidRPr="007C5B29">
        <w:rPr>
          <w:rFonts w:ascii="Open Sans" w:hAnsi="Open Sans" w:cs="Open Sans"/>
          <w:color w:val="244061" w:themeColor="accent1" w:themeShade="80"/>
          <w:sz w:val="22"/>
          <w:szCs w:val="22"/>
          <w:lang w:val="en-GB"/>
        </w:rPr>
        <w:t>.</w:t>
      </w:r>
    </w:p>
    <w:p w14:paraId="4B7332BF" w14:textId="33AA3214" w:rsidR="00D01C1E" w:rsidRPr="00293A7C" w:rsidRDefault="00D01C1E" w:rsidP="00293A7C">
      <w:pPr>
        <w:pStyle w:val="Default"/>
        <w:spacing w:before="120" w:after="120" w:line="276" w:lineRule="auto"/>
        <w:jc w:val="both"/>
        <w:rPr>
          <w:rFonts w:ascii="Open Sans" w:hAnsi="Open Sans" w:cs="Open Sans"/>
          <w:b/>
          <w:iCs/>
          <w:color w:val="244061" w:themeColor="accent1" w:themeShade="80"/>
          <w:sz w:val="22"/>
          <w:szCs w:val="22"/>
          <w:lang w:val="en-GB"/>
        </w:rPr>
      </w:pPr>
      <w:r w:rsidRPr="007C5B29">
        <w:rPr>
          <w:rFonts w:ascii="Open Sans" w:hAnsi="Open Sans" w:cs="Open Sans"/>
          <w:b/>
          <w:iCs/>
          <w:color w:val="244061" w:themeColor="accent1" w:themeShade="80"/>
          <w:sz w:val="22"/>
          <w:szCs w:val="22"/>
          <w:lang w:val="en-GB"/>
        </w:rPr>
        <w:t>Relation to the specific objective and actions</w:t>
      </w:r>
      <w:r w:rsidR="00381DED" w:rsidRPr="007C5B29">
        <w:rPr>
          <w:rFonts w:ascii="Open Sans" w:hAnsi="Open Sans" w:cs="Open Sans"/>
          <w:b/>
          <w:iCs/>
          <w:color w:val="244061" w:themeColor="accent1" w:themeShade="80"/>
          <w:sz w:val="22"/>
          <w:szCs w:val="22"/>
          <w:lang w:val="en-GB"/>
        </w:rPr>
        <w:t>:</w:t>
      </w:r>
      <w:r w:rsidRPr="007C5B29">
        <w:rPr>
          <w:rFonts w:ascii="Open Sans" w:hAnsi="Open Sans" w:cs="Open Sans"/>
          <w:b/>
          <w:iCs/>
          <w:color w:val="244061" w:themeColor="accent1" w:themeShade="80"/>
          <w:sz w:val="22"/>
          <w:szCs w:val="22"/>
          <w:lang w:val="en-GB"/>
        </w:rPr>
        <w:t xml:space="preserve"> </w:t>
      </w:r>
    </w:p>
    <w:p w14:paraId="19FF3643" w14:textId="77777777" w:rsidR="00D2703B" w:rsidRPr="007C5B29" w:rsidRDefault="00D2703B" w:rsidP="00293A7C">
      <w:pPr>
        <w:pStyle w:val="Default"/>
        <w:spacing w:after="120" w:line="276" w:lineRule="auto"/>
        <w:jc w:val="both"/>
        <w:rPr>
          <w:rFonts w:ascii="Open Sans" w:hAnsi="Open Sans" w:cs="Open Sans"/>
          <w:color w:val="244061" w:themeColor="accent1" w:themeShade="80"/>
          <w:sz w:val="22"/>
          <w:szCs w:val="22"/>
          <w:lang w:val="en-GB"/>
        </w:rPr>
      </w:pPr>
      <w:r w:rsidRPr="007C5B29">
        <w:rPr>
          <w:rFonts w:ascii="Open Sans" w:hAnsi="Open Sans" w:cs="Open Sans"/>
          <w:color w:val="244061" w:themeColor="accent1" w:themeShade="80"/>
          <w:sz w:val="22"/>
          <w:szCs w:val="22"/>
          <w:lang w:val="en-GB"/>
        </w:rPr>
        <w:t xml:space="preserve">The result indicator under this </w:t>
      </w:r>
      <w:proofErr w:type="spellStart"/>
      <w:r w:rsidRPr="007C5B29">
        <w:rPr>
          <w:rFonts w:ascii="Open Sans" w:hAnsi="Open Sans" w:cs="Open Sans"/>
          <w:color w:val="244061" w:themeColor="accent1" w:themeShade="80"/>
          <w:sz w:val="22"/>
          <w:szCs w:val="22"/>
          <w:lang w:val="en-GB"/>
        </w:rPr>
        <w:t>Ip</w:t>
      </w:r>
      <w:proofErr w:type="spellEnd"/>
      <w:r w:rsidRPr="007C5B29">
        <w:rPr>
          <w:rFonts w:ascii="Open Sans" w:hAnsi="Open Sans" w:cs="Open Sans"/>
          <w:color w:val="244061" w:themeColor="accent1" w:themeShade="80"/>
          <w:sz w:val="22"/>
          <w:szCs w:val="22"/>
          <w:lang w:val="en-GB"/>
        </w:rPr>
        <w:t xml:space="preserve"> is “Improved cross-border disaster and risk management” – the proposed result indicator – “Improved quality of the joint risk management” provides a </w:t>
      </w:r>
      <w:r w:rsidRPr="007C5B29">
        <w:rPr>
          <w:rFonts w:ascii="Open Sans" w:hAnsi="Open Sans" w:cs="Open Sans"/>
          <w:color w:val="244061" w:themeColor="accent1" w:themeShade="80"/>
          <w:sz w:val="22"/>
          <w:szCs w:val="22"/>
          <w:lang w:val="en-GB"/>
        </w:rPr>
        <w:lastRenderedPageBreak/>
        <w:t>proper measurement for the specific objective - there is a close and direct link between the specific objective and the result.</w:t>
      </w:r>
    </w:p>
    <w:p w14:paraId="6F1BED46" w14:textId="7405CE09" w:rsidR="00A03D5F" w:rsidRDefault="00D2703B" w:rsidP="00293A7C">
      <w:pPr>
        <w:pStyle w:val="Default"/>
        <w:spacing w:line="276" w:lineRule="auto"/>
        <w:jc w:val="both"/>
        <w:rPr>
          <w:rFonts w:ascii="Open Sans" w:hAnsi="Open Sans" w:cs="Open Sans"/>
          <w:color w:val="244061" w:themeColor="accent1" w:themeShade="80"/>
          <w:sz w:val="22"/>
          <w:szCs w:val="22"/>
          <w:lang w:val="en-GB"/>
        </w:rPr>
      </w:pPr>
      <w:r w:rsidRPr="007C5B29">
        <w:rPr>
          <w:rFonts w:ascii="Open Sans" w:hAnsi="Open Sans" w:cs="Open Sans"/>
          <w:color w:val="244061" w:themeColor="accent1" w:themeShade="80"/>
          <w:sz w:val="22"/>
          <w:szCs w:val="22"/>
          <w:lang w:val="en-GB"/>
        </w:rPr>
        <w:t xml:space="preserve">The actions foreseen under this </w:t>
      </w:r>
      <w:proofErr w:type="spellStart"/>
      <w:r w:rsidRPr="007C5B29">
        <w:rPr>
          <w:rFonts w:ascii="Open Sans" w:hAnsi="Open Sans" w:cs="Open Sans"/>
          <w:color w:val="244061" w:themeColor="accent1" w:themeShade="80"/>
          <w:sz w:val="22"/>
          <w:szCs w:val="22"/>
          <w:lang w:val="en-GB"/>
        </w:rPr>
        <w:t>Ip</w:t>
      </w:r>
      <w:proofErr w:type="spellEnd"/>
      <w:r w:rsidRPr="007C5B29">
        <w:rPr>
          <w:rFonts w:ascii="Open Sans" w:hAnsi="Open Sans" w:cs="Open Sans"/>
          <w:color w:val="244061" w:themeColor="accent1" w:themeShade="80"/>
          <w:sz w:val="22"/>
          <w:szCs w:val="22"/>
          <w:lang w:val="en-GB"/>
        </w:rPr>
        <w:t xml:space="preserve"> are aimed at improving the most important conditions – physical and other - of disaster and risk-management, clearly and directly contributing to the better quality of joint risk management activities.</w:t>
      </w:r>
    </w:p>
    <w:p w14:paraId="7FB223A8" w14:textId="77777777" w:rsidR="0019464C" w:rsidRDefault="0019464C" w:rsidP="00293A7C">
      <w:pPr>
        <w:pStyle w:val="Default"/>
        <w:spacing w:line="276" w:lineRule="auto"/>
        <w:jc w:val="both"/>
        <w:rPr>
          <w:rFonts w:ascii="Open Sans" w:hAnsi="Open Sans" w:cs="Open Sans"/>
          <w:color w:val="244061" w:themeColor="accent1" w:themeShade="80"/>
          <w:sz w:val="22"/>
          <w:szCs w:val="22"/>
          <w:lang w:val="en-GB"/>
        </w:rPr>
      </w:pPr>
    </w:p>
    <w:p w14:paraId="7A928ACC" w14:textId="77777777" w:rsidR="003D58A5" w:rsidRPr="003D58A5" w:rsidRDefault="003D58A5" w:rsidP="003D58A5">
      <w:pPr>
        <w:pStyle w:val="ListParagraph"/>
        <w:shd w:val="clear" w:color="auto" w:fill="FF0000"/>
        <w:spacing w:after="0"/>
        <w:ind w:left="0"/>
        <w:jc w:val="both"/>
        <w:rPr>
          <w:rFonts w:ascii="Open Sans" w:hAnsi="Open Sans" w:cs="Open Sans"/>
          <w:b/>
          <w:lang w:val="en-GB"/>
        </w:rPr>
      </w:pPr>
      <w:r w:rsidRPr="003D58A5">
        <w:rPr>
          <w:rFonts w:ascii="Open Sans" w:hAnsi="Open Sans" w:cs="Open Sans"/>
          <w:b/>
          <w:lang w:val="en-GB"/>
        </w:rPr>
        <w:t>! Special attention to horizontal principles</w:t>
      </w:r>
    </w:p>
    <w:p w14:paraId="62E3B955" w14:textId="77777777" w:rsidR="003D58A5" w:rsidRPr="003D58A5" w:rsidRDefault="003D58A5" w:rsidP="003D58A5">
      <w:pPr>
        <w:pStyle w:val="ListParagraph"/>
        <w:spacing w:after="0"/>
        <w:ind w:left="0"/>
        <w:jc w:val="both"/>
        <w:rPr>
          <w:rFonts w:ascii="Open Sans" w:hAnsi="Open Sans" w:cs="Open Sans"/>
          <w:b/>
          <w:lang w:val="en-GB"/>
        </w:rPr>
      </w:pPr>
    </w:p>
    <w:p w14:paraId="5549CA38" w14:textId="77777777" w:rsidR="003D58A5" w:rsidRPr="003D58A5" w:rsidRDefault="003D58A5" w:rsidP="003D58A5">
      <w:pPr>
        <w:pStyle w:val="ListParagraph"/>
        <w:ind w:left="0"/>
        <w:contextualSpacing w:val="0"/>
        <w:jc w:val="both"/>
        <w:rPr>
          <w:rFonts w:ascii="Open Sans" w:hAnsi="Open Sans" w:cs="Open Sans"/>
          <w:lang w:val="en-GB"/>
        </w:rPr>
      </w:pPr>
      <w:r w:rsidRPr="003D58A5">
        <w:rPr>
          <w:rFonts w:ascii="Open Sans" w:hAnsi="Open Sans" w:cs="Open Sans"/>
          <w:lang w:val="en-GB"/>
        </w:rPr>
        <w:t xml:space="preserve">Special attention is needed under </w:t>
      </w:r>
      <w:proofErr w:type="spellStart"/>
      <w:r w:rsidRPr="003D58A5">
        <w:rPr>
          <w:rFonts w:ascii="Open Sans" w:hAnsi="Open Sans" w:cs="Open Sans"/>
          <w:lang w:val="en-GB"/>
        </w:rPr>
        <w:t>Ip</w:t>
      </w:r>
      <w:proofErr w:type="spellEnd"/>
      <w:r w:rsidRPr="003D58A5">
        <w:rPr>
          <w:rFonts w:ascii="Open Sans" w:hAnsi="Open Sans" w:cs="Open Sans"/>
          <w:lang w:val="en-GB"/>
        </w:rPr>
        <w:t xml:space="preserve"> 5/b, regarding the sustainable development (please see chapter 8 of </w:t>
      </w:r>
      <w:proofErr w:type="spellStart"/>
      <w:r w:rsidRPr="003D58A5">
        <w:rPr>
          <w:rFonts w:ascii="Open Sans" w:hAnsi="Open Sans" w:cs="Open Sans"/>
          <w:lang w:val="en-GB"/>
        </w:rPr>
        <w:t>Interreg</w:t>
      </w:r>
      <w:proofErr w:type="spellEnd"/>
      <w:r w:rsidRPr="003D58A5">
        <w:rPr>
          <w:rFonts w:ascii="Open Sans" w:hAnsi="Open Sans" w:cs="Open Sans"/>
          <w:lang w:val="en-GB"/>
        </w:rPr>
        <w:t xml:space="preserve"> V-A RO-HU CP and Chapter 1.2.3.Horizontal Principles of the </w:t>
      </w:r>
      <w:proofErr w:type="spellStart"/>
      <w:r w:rsidRPr="003D58A5">
        <w:rPr>
          <w:rFonts w:ascii="Open Sans" w:hAnsi="Open Sans" w:cs="Open Sans"/>
          <w:lang w:val="en-GB"/>
        </w:rPr>
        <w:t>GfA</w:t>
      </w:r>
      <w:proofErr w:type="spellEnd"/>
      <w:r w:rsidRPr="003D58A5">
        <w:rPr>
          <w:rFonts w:ascii="Open Sans" w:hAnsi="Open Sans" w:cs="Open Sans"/>
          <w:lang w:val="en-GB"/>
        </w:rPr>
        <w:t>).</w:t>
      </w:r>
    </w:p>
    <w:p w14:paraId="0ADFA61B" w14:textId="77777777" w:rsidR="003D58A5" w:rsidRPr="003D58A5" w:rsidRDefault="003D58A5" w:rsidP="003D58A5">
      <w:pPr>
        <w:pStyle w:val="ListParagraph"/>
        <w:ind w:left="0"/>
        <w:contextualSpacing w:val="0"/>
        <w:jc w:val="both"/>
        <w:rPr>
          <w:rFonts w:ascii="Open Sans" w:hAnsi="Open Sans" w:cs="Open Sans"/>
          <w:lang w:val="en-GB"/>
        </w:rPr>
      </w:pPr>
      <w:r w:rsidRPr="003D58A5">
        <w:rPr>
          <w:rFonts w:ascii="Open Sans" w:hAnsi="Open Sans" w:cs="Open Sans"/>
          <w:lang w:val="en-GB"/>
        </w:rPr>
        <w:t>The proposed projects should improve disaster resilience and disaster management.</w:t>
      </w:r>
    </w:p>
    <w:p w14:paraId="40F41288" w14:textId="77777777" w:rsidR="003D58A5" w:rsidRPr="003D58A5" w:rsidRDefault="003D58A5" w:rsidP="003D58A5">
      <w:pPr>
        <w:pStyle w:val="ListParagraph"/>
        <w:ind w:left="0"/>
        <w:contextualSpacing w:val="0"/>
        <w:jc w:val="both"/>
        <w:rPr>
          <w:rFonts w:ascii="Open Sans" w:hAnsi="Open Sans" w:cs="Open Sans"/>
          <w:lang w:val="en-GB"/>
        </w:rPr>
      </w:pPr>
      <w:r w:rsidRPr="003D58A5">
        <w:rPr>
          <w:rFonts w:ascii="Open Sans" w:hAnsi="Open Sans" w:cs="Open Sans"/>
          <w:lang w:val="en-GB"/>
        </w:rPr>
        <w:t>Projects with a direct negative impact on the environment and sustainable development will not be selected for financing.</w:t>
      </w:r>
    </w:p>
    <w:p w14:paraId="6E77B223" w14:textId="77777777" w:rsidR="003D58A5" w:rsidRPr="003D58A5" w:rsidRDefault="003D58A5" w:rsidP="003D58A5">
      <w:pPr>
        <w:pStyle w:val="ListParagraph"/>
        <w:ind w:left="0"/>
        <w:contextualSpacing w:val="0"/>
        <w:jc w:val="both"/>
        <w:rPr>
          <w:rFonts w:ascii="Open Sans" w:hAnsi="Open Sans" w:cs="Open Sans"/>
          <w:lang w:val="en-GB"/>
        </w:rPr>
      </w:pPr>
      <w:r w:rsidRPr="003D58A5">
        <w:rPr>
          <w:rFonts w:ascii="Open Sans" w:hAnsi="Open Sans" w:cs="Open Sans"/>
          <w:lang w:val="en-GB"/>
        </w:rPr>
        <w:t>It will also be ensured that projects affecting NATURA 2000 sites are in line with Article 6, paragraphs 2-4 of the Habitats Directive, stipulating how NATURA 2000 sites are managed and protected.</w:t>
      </w:r>
    </w:p>
    <w:p w14:paraId="700EDF23" w14:textId="77777777" w:rsidR="0019464C" w:rsidRPr="007C5B29" w:rsidRDefault="0019464C" w:rsidP="00293A7C">
      <w:pPr>
        <w:pStyle w:val="Default"/>
        <w:spacing w:line="276" w:lineRule="auto"/>
        <w:jc w:val="both"/>
        <w:rPr>
          <w:rFonts w:ascii="Open Sans" w:hAnsi="Open Sans" w:cs="Open Sans"/>
          <w:color w:val="244061" w:themeColor="accent1" w:themeShade="80"/>
          <w:sz w:val="22"/>
          <w:szCs w:val="22"/>
          <w:lang w:val="en-GB"/>
        </w:rPr>
      </w:pPr>
    </w:p>
    <w:sectPr w:rsidR="0019464C" w:rsidRPr="007C5B29" w:rsidSect="00152E2B">
      <w:headerReference w:type="even" r:id="rId9"/>
      <w:headerReference w:type="default" r:id="rId10"/>
      <w:footerReference w:type="even" r:id="rId11"/>
      <w:footerReference w:type="default" r:id="rId12"/>
      <w:headerReference w:type="first" r:id="rId13"/>
      <w:footerReference w:type="first" r:id="rId14"/>
      <w:pgSz w:w="12240" w:h="15840"/>
      <w:pgMar w:top="1440" w:right="1080" w:bottom="993" w:left="1440" w:header="720" w:footer="4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93E108" w14:textId="77777777" w:rsidR="004F0068" w:rsidRDefault="004F0068" w:rsidP="00AF2307">
      <w:pPr>
        <w:spacing w:after="0" w:line="240" w:lineRule="auto"/>
      </w:pPr>
      <w:r>
        <w:separator/>
      </w:r>
    </w:p>
  </w:endnote>
  <w:endnote w:type="continuationSeparator" w:id="0">
    <w:p w14:paraId="0E0FDED7" w14:textId="77777777" w:rsidR="004F0068" w:rsidRDefault="004F0068" w:rsidP="00AF23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egoe UI Symbol">
    <w:panose1 w:val="020B0502040204020203"/>
    <w:charset w:val="00"/>
    <w:family w:val="swiss"/>
    <w:pitch w:val="variable"/>
    <w:sig w:usb0="8000006F" w:usb1="1200FBEF" w:usb2="0004C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en Sans">
    <w:panose1 w:val="020B0606030504020204"/>
    <w:charset w:val="00"/>
    <w:family w:val="swiss"/>
    <w:pitch w:val="variable"/>
    <w:sig w:usb0="E00002EF" w:usb1="4000205B" w:usb2="00000028" w:usb3="00000000" w:csb0="0000019F" w:csb1="00000000"/>
  </w:font>
  <w:font w:name="Montserrat Light">
    <w:altName w:val="Arial"/>
    <w:panose1 w:val="000000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A267ED" w14:textId="77777777" w:rsidR="00152E2B" w:rsidRDefault="00152E2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7607754"/>
      <w:docPartObj>
        <w:docPartGallery w:val="Page Numbers (Bottom of Page)"/>
        <w:docPartUnique/>
      </w:docPartObj>
    </w:sdtPr>
    <w:sdtEndPr>
      <w:rPr>
        <w:noProof/>
      </w:rPr>
    </w:sdtEndPr>
    <w:sdtContent>
      <w:p w14:paraId="67A87B7C" w14:textId="77777777" w:rsidR="0079079D" w:rsidRDefault="0079079D">
        <w:pPr>
          <w:pStyle w:val="Footer"/>
          <w:jc w:val="right"/>
        </w:pPr>
        <w:r>
          <w:fldChar w:fldCharType="begin"/>
        </w:r>
        <w:r>
          <w:instrText xml:space="preserve"> PAGE   \* MERGEFORMAT </w:instrText>
        </w:r>
        <w:r>
          <w:fldChar w:fldCharType="separate"/>
        </w:r>
        <w:r w:rsidR="00152E2B">
          <w:rPr>
            <w:noProof/>
          </w:rPr>
          <w:t>2</w:t>
        </w:r>
        <w:r>
          <w:rPr>
            <w:noProof/>
          </w:rPr>
          <w:fldChar w:fldCharType="end"/>
        </w:r>
      </w:p>
    </w:sdtContent>
  </w:sdt>
  <w:p w14:paraId="45962B86" w14:textId="77777777" w:rsidR="0079079D" w:rsidRDefault="0079079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DABD31" w14:textId="77777777" w:rsidR="00152E2B" w:rsidRDefault="00152E2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382B16" w14:textId="77777777" w:rsidR="004F0068" w:rsidRDefault="004F0068" w:rsidP="00AF2307">
      <w:pPr>
        <w:spacing w:after="0" w:line="240" w:lineRule="auto"/>
      </w:pPr>
      <w:r>
        <w:separator/>
      </w:r>
    </w:p>
  </w:footnote>
  <w:footnote w:type="continuationSeparator" w:id="0">
    <w:p w14:paraId="706741B5" w14:textId="77777777" w:rsidR="004F0068" w:rsidRDefault="004F0068" w:rsidP="00AF230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6EF31B" w14:textId="77777777" w:rsidR="00152E2B" w:rsidRDefault="00152E2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8AD1FC" w14:textId="77777777" w:rsidR="00152E2B" w:rsidRPr="00152E2B" w:rsidRDefault="00152E2B" w:rsidP="00152E2B">
    <w:pPr>
      <w:pStyle w:val="Header"/>
      <w:jc w:val="right"/>
      <w:rPr>
        <w:rFonts w:ascii="Open Sans" w:hAnsi="Open Sans" w:cs="Open Sans"/>
        <w:sz w:val="20"/>
        <w:szCs w:val="20"/>
      </w:rPr>
    </w:pPr>
    <w:r w:rsidRPr="00152E2B">
      <w:rPr>
        <w:rFonts w:ascii="Open Sans" w:hAnsi="Open Sans" w:cs="Open Sans"/>
        <w:sz w:val="20"/>
        <w:szCs w:val="20"/>
      </w:rPr>
      <w:t>Factsheet Ip5/b</w:t>
    </w:r>
  </w:p>
  <w:p w14:paraId="1B1018E6" w14:textId="77777777" w:rsidR="00152E2B" w:rsidRDefault="00152E2B" w:rsidP="00152E2B">
    <w:pPr>
      <w:pStyle w:val="Header"/>
      <w:jc w:val="right"/>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6A8994" w14:textId="766DF64B" w:rsidR="00152E2B" w:rsidRDefault="00152E2B">
    <w:pPr>
      <w:pStyle w:val="Header"/>
    </w:pPr>
    <w:r>
      <w:rPr>
        <w:noProof/>
        <w:lang w:val="en-US"/>
      </w:rPr>
      <w:drawing>
        <wp:inline distT="0" distB="0" distL="0" distR="0" wp14:anchorId="53180455" wp14:editId="5B6B003A">
          <wp:extent cx="2905664" cy="684000"/>
          <wp:effectExtent l="0" t="0" r="952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905664" cy="684000"/>
                  </a:xfrm>
                  <a:prstGeom prst="rect">
                    <a:avLst/>
                  </a:prstGeom>
                </pic:spPr>
              </pic:pic>
            </a:graphicData>
          </a:graphic>
        </wp:inline>
      </w:drawing>
    </w:r>
    <w:r>
      <w:t xml:space="preserve">                                              </w:t>
    </w:r>
    <w:r>
      <w:rPr>
        <w:rFonts w:ascii="Montserrat Light" w:hAnsi="Montserrat Light"/>
        <w:noProof/>
        <w:lang w:val="en-US"/>
      </w:rPr>
      <w:drawing>
        <wp:inline distT="0" distB="0" distL="0" distR="0" wp14:anchorId="29744544" wp14:editId="6C921672">
          <wp:extent cx="748146" cy="68107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o in en.jpg"/>
                  <pic:cNvPicPr/>
                </pic:nvPicPr>
                <pic:blipFill>
                  <a:blip r:embed="rId2">
                    <a:extLst>
                      <a:ext uri="{28A0092B-C50C-407E-A947-70E740481C1C}">
                        <a14:useLocalDpi xmlns:a14="http://schemas.microsoft.com/office/drawing/2010/main" val="0"/>
                      </a:ext>
                    </a:extLst>
                  </a:blip>
                  <a:stretch>
                    <a:fillRect/>
                  </a:stretch>
                </pic:blipFill>
                <pic:spPr>
                  <a:xfrm>
                    <a:off x="0" y="0"/>
                    <a:ext cx="807604" cy="735197"/>
                  </a:xfrm>
                  <a:prstGeom prst="rect">
                    <a:avLst/>
                  </a:prstGeom>
                </pic:spPr>
              </pic:pic>
            </a:graphicData>
          </a:graphic>
        </wp:inline>
      </w:drawing>
    </w:r>
    <w:r>
      <w:t xml:space="preserve">   </w:t>
    </w:r>
    <w:r>
      <w:rPr>
        <w:noProof/>
        <w:lang w:val="en-US"/>
      </w:rPr>
      <w:drawing>
        <wp:inline distT="0" distB="0" distL="0" distR="0" wp14:anchorId="738E9394" wp14:editId="3FC08A2E">
          <wp:extent cx="618857" cy="684000"/>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igla hu en.jpg"/>
                  <pic:cNvPicPr/>
                </pic:nvPicPr>
                <pic:blipFill>
                  <a:blip r:embed="rId3">
                    <a:extLst>
                      <a:ext uri="{28A0092B-C50C-407E-A947-70E740481C1C}">
                        <a14:useLocalDpi xmlns:a14="http://schemas.microsoft.com/office/drawing/2010/main" val="0"/>
                      </a:ext>
                    </a:extLst>
                  </a:blip>
                  <a:stretch>
                    <a:fillRect/>
                  </a:stretch>
                </pic:blipFill>
                <pic:spPr>
                  <a:xfrm>
                    <a:off x="0" y="0"/>
                    <a:ext cx="618857" cy="684000"/>
                  </a:xfrm>
                  <a:prstGeom prst="rect">
                    <a:avLst/>
                  </a:prstGeom>
                </pic:spPr>
              </pic:pic>
            </a:graphicData>
          </a:graphic>
        </wp:inline>
      </w:drawing>
    </w:r>
  </w:p>
  <w:p w14:paraId="5881D276" w14:textId="77777777" w:rsidR="00152E2B" w:rsidRDefault="00152E2B">
    <w:pPr>
      <w:pStyle w:val="Header"/>
    </w:pPr>
  </w:p>
  <w:p w14:paraId="0773EB36" w14:textId="05133124" w:rsidR="00152E2B" w:rsidRPr="00152E2B" w:rsidRDefault="00152E2B" w:rsidP="00152E2B">
    <w:pPr>
      <w:pStyle w:val="Header"/>
      <w:jc w:val="right"/>
      <w:rPr>
        <w:rFonts w:ascii="Open Sans" w:hAnsi="Open Sans" w:cs="Open Sans"/>
        <w:sz w:val="20"/>
        <w:szCs w:val="20"/>
      </w:rPr>
    </w:pPr>
    <w:r w:rsidRPr="00152E2B">
      <w:rPr>
        <w:rFonts w:ascii="Open Sans" w:hAnsi="Open Sans" w:cs="Open Sans"/>
        <w:sz w:val="20"/>
        <w:szCs w:val="20"/>
      </w:rPr>
      <w:t>Factsheet Ip5/b</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00EC5"/>
    <w:multiLevelType w:val="hybridMultilevel"/>
    <w:tmpl w:val="846C863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E451FD"/>
    <w:multiLevelType w:val="hybridMultilevel"/>
    <w:tmpl w:val="17A42C40"/>
    <w:lvl w:ilvl="0" w:tplc="013EF9B4">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AF6CED2">
      <w:start w:val="1"/>
      <w:numFmt w:val="bullet"/>
      <w:lvlText w:val="o"/>
      <w:lvlJc w:val="left"/>
      <w:pPr>
        <w:ind w:left="16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F185F92">
      <w:start w:val="1"/>
      <w:numFmt w:val="bullet"/>
      <w:lvlText w:val="▪"/>
      <w:lvlJc w:val="left"/>
      <w:pPr>
        <w:ind w:left="23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6AC14C0">
      <w:start w:val="1"/>
      <w:numFmt w:val="bullet"/>
      <w:lvlText w:val="•"/>
      <w:lvlJc w:val="left"/>
      <w:pPr>
        <w:ind w:left="30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BA87524">
      <w:start w:val="1"/>
      <w:numFmt w:val="bullet"/>
      <w:lvlText w:val="o"/>
      <w:lvlJc w:val="left"/>
      <w:pPr>
        <w:ind w:left="37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D6445AE">
      <w:start w:val="1"/>
      <w:numFmt w:val="bullet"/>
      <w:lvlText w:val="▪"/>
      <w:lvlJc w:val="left"/>
      <w:pPr>
        <w:ind w:left="44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EF851D8">
      <w:start w:val="1"/>
      <w:numFmt w:val="bullet"/>
      <w:lvlText w:val="•"/>
      <w:lvlJc w:val="left"/>
      <w:pPr>
        <w:ind w:left="52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8C44162">
      <w:start w:val="1"/>
      <w:numFmt w:val="bullet"/>
      <w:lvlText w:val="o"/>
      <w:lvlJc w:val="left"/>
      <w:pPr>
        <w:ind w:left="59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7BC4794">
      <w:start w:val="1"/>
      <w:numFmt w:val="bullet"/>
      <w:lvlText w:val="▪"/>
      <w:lvlJc w:val="left"/>
      <w:pPr>
        <w:ind w:left="66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nsid w:val="09D61314"/>
    <w:multiLevelType w:val="hybridMultilevel"/>
    <w:tmpl w:val="1FDE00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D670B4"/>
    <w:multiLevelType w:val="hybridMultilevel"/>
    <w:tmpl w:val="E06E9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D716AE"/>
    <w:multiLevelType w:val="hybridMultilevel"/>
    <w:tmpl w:val="771C1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476BF1"/>
    <w:multiLevelType w:val="hybridMultilevel"/>
    <w:tmpl w:val="8E12D846"/>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A33391"/>
    <w:multiLevelType w:val="hybridMultilevel"/>
    <w:tmpl w:val="129427D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9203FE"/>
    <w:multiLevelType w:val="hybridMultilevel"/>
    <w:tmpl w:val="7AAC9DDC"/>
    <w:lvl w:ilvl="0" w:tplc="531E0DB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48C7875"/>
    <w:multiLevelType w:val="multilevel"/>
    <w:tmpl w:val="EF0E898E"/>
    <w:lvl w:ilvl="0">
      <w:start w:val="1"/>
      <w:numFmt w:val="lowerLetter"/>
      <w:pStyle w:val="Bulletletter"/>
      <w:lvlText w:val="(%1)"/>
      <w:lvlJc w:val="left"/>
      <w:pPr>
        <w:ind w:left="18"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71D6D90"/>
    <w:multiLevelType w:val="hybridMultilevel"/>
    <w:tmpl w:val="0E2AC91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0">
    <w:nsid w:val="18FF29C8"/>
    <w:multiLevelType w:val="hybridMultilevel"/>
    <w:tmpl w:val="20548BA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2E403F"/>
    <w:multiLevelType w:val="hybridMultilevel"/>
    <w:tmpl w:val="EB025E5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1E613620"/>
    <w:multiLevelType w:val="hybridMultilevel"/>
    <w:tmpl w:val="4D341D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F4164E"/>
    <w:multiLevelType w:val="hybridMultilevel"/>
    <w:tmpl w:val="1BF009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690AB8"/>
    <w:multiLevelType w:val="hybridMultilevel"/>
    <w:tmpl w:val="7FE8680C"/>
    <w:lvl w:ilvl="0" w:tplc="00DA00F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1626F6E"/>
    <w:multiLevelType w:val="hybridMultilevel"/>
    <w:tmpl w:val="25744A1E"/>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1AF7D4D"/>
    <w:multiLevelType w:val="multilevel"/>
    <w:tmpl w:val="8A2C3F3E"/>
    <w:lvl w:ilvl="0">
      <w:start w:val="1"/>
      <w:numFmt w:val="bullet"/>
      <w:lvlText w:val=""/>
      <w:lvlJc w:val="left"/>
      <w:pPr>
        <w:ind w:left="18"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33E3FB2"/>
    <w:multiLevelType w:val="hybridMultilevel"/>
    <w:tmpl w:val="7EE0E448"/>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79F4772"/>
    <w:multiLevelType w:val="hybridMultilevel"/>
    <w:tmpl w:val="58F424CE"/>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91543B8"/>
    <w:multiLevelType w:val="hybridMultilevel"/>
    <w:tmpl w:val="7C44C9C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BAA51A7"/>
    <w:multiLevelType w:val="hybridMultilevel"/>
    <w:tmpl w:val="7570D85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C4F1AD4"/>
    <w:multiLevelType w:val="hybridMultilevel"/>
    <w:tmpl w:val="EF0AE758"/>
    <w:lvl w:ilvl="0" w:tplc="F00A73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CDA62DF"/>
    <w:multiLevelType w:val="hybridMultilevel"/>
    <w:tmpl w:val="ADDA0108"/>
    <w:lvl w:ilvl="0" w:tplc="0409000D">
      <w:start w:val="1"/>
      <w:numFmt w:val="bullet"/>
      <w:lvlText w:val=""/>
      <w:lvlJc w:val="left"/>
      <w:pPr>
        <w:ind w:left="720" w:hanging="360"/>
      </w:pPr>
      <w:rPr>
        <w:rFonts w:ascii="Wingdings" w:hAnsi="Wingdings" w:hint="default"/>
      </w:rPr>
    </w:lvl>
    <w:lvl w:ilvl="1" w:tplc="B7582E2C">
      <w:numFmt w:val="bullet"/>
      <w:lvlText w:val=""/>
      <w:lvlJc w:val="left"/>
      <w:pPr>
        <w:ind w:left="1800" w:hanging="720"/>
      </w:pPr>
      <w:rPr>
        <w:rFonts w:ascii="Symbol" w:eastAsiaTheme="minorHAnsi" w:hAnsi="Symbol" w:cs="Arial" w:hint="default"/>
      </w:rPr>
    </w:lvl>
    <w:lvl w:ilvl="2" w:tplc="EC9A7F7C">
      <w:numFmt w:val="bullet"/>
      <w:lvlText w:val="-"/>
      <w:lvlJc w:val="left"/>
      <w:pPr>
        <w:ind w:left="2520" w:hanging="720"/>
      </w:pPr>
      <w:rPr>
        <w:rFonts w:ascii="Arial" w:eastAsiaTheme="minorHAnsi"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0086EA0"/>
    <w:multiLevelType w:val="hybridMultilevel"/>
    <w:tmpl w:val="5E8695E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32F8230E"/>
    <w:multiLevelType w:val="hybridMultilevel"/>
    <w:tmpl w:val="064CF0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3562839"/>
    <w:multiLevelType w:val="hybridMultilevel"/>
    <w:tmpl w:val="A280A1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37B38B1"/>
    <w:multiLevelType w:val="hybridMultilevel"/>
    <w:tmpl w:val="491044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3B570EA"/>
    <w:multiLevelType w:val="hybridMultilevel"/>
    <w:tmpl w:val="0B146D5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7142770"/>
    <w:multiLevelType w:val="hybridMultilevel"/>
    <w:tmpl w:val="7966CC94"/>
    <w:lvl w:ilvl="0" w:tplc="04090001">
      <w:start w:val="1"/>
      <w:numFmt w:val="bullet"/>
      <w:lvlText w:val=""/>
      <w:lvlJc w:val="left"/>
      <w:pPr>
        <w:ind w:left="1980" w:hanging="360"/>
      </w:pPr>
      <w:rPr>
        <w:rFonts w:ascii="Symbol" w:hAnsi="Symbol" w:hint="default"/>
      </w:rPr>
    </w:lvl>
    <w:lvl w:ilvl="1" w:tplc="04090001">
      <w:start w:val="1"/>
      <w:numFmt w:val="bullet"/>
      <w:lvlText w:val=""/>
      <w:lvlJc w:val="left"/>
      <w:pPr>
        <w:ind w:left="2700" w:hanging="360"/>
      </w:pPr>
      <w:rPr>
        <w:rFonts w:ascii="Symbol" w:hAnsi="Symbol"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9">
    <w:nsid w:val="38A01BAE"/>
    <w:multiLevelType w:val="hybridMultilevel"/>
    <w:tmpl w:val="A372C28E"/>
    <w:lvl w:ilvl="0" w:tplc="6CBCD8F0">
      <w:numFmt w:val="bullet"/>
      <w:lvlText w:val="•"/>
      <w:lvlJc w:val="left"/>
      <w:pPr>
        <w:ind w:left="108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96E7357"/>
    <w:multiLevelType w:val="hybridMultilevel"/>
    <w:tmpl w:val="35DCA20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A0E683E"/>
    <w:multiLevelType w:val="hybridMultilevel"/>
    <w:tmpl w:val="904E8DC6"/>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D093711"/>
    <w:multiLevelType w:val="hybridMultilevel"/>
    <w:tmpl w:val="A72E377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E66096D"/>
    <w:multiLevelType w:val="hybridMultilevel"/>
    <w:tmpl w:val="9DE8688E"/>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F8B72C6"/>
    <w:multiLevelType w:val="hybridMultilevel"/>
    <w:tmpl w:val="CA3630B2"/>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57312A4"/>
    <w:multiLevelType w:val="hybridMultilevel"/>
    <w:tmpl w:val="BFF4AAE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ADD37EC"/>
    <w:multiLevelType w:val="hybridMultilevel"/>
    <w:tmpl w:val="1C02EF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C51067B"/>
    <w:multiLevelType w:val="hybridMultilevel"/>
    <w:tmpl w:val="97ECC46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C8A0125"/>
    <w:multiLevelType w:val="multilevel"/>
    <w:tmpl w:val="E52C80C6"/>
    <w:lvl w:ilvl="0">
      <w:start w:val="1"/>
      <w:numFmt w:val="bullet"/>
      <w:lvlText w:val=""/>
      <w:lvlJc w:val="left"/>
      <w:pPr>
        <w:ind w:left="18"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515B4BD5"/>
    <w:multiLevelType w:val="hybridMultilevel"/>
    <w:tmpl w:val="D166D4B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16731D0"/>
    <w:multiLevelType w:val="hybridMultilevel"/>
    <w:tmpl w:val="633ED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21F3C28"/>
    <w:multiLevelType w:val="hybridMultilevel"/>
    <w:tmpl w:val="EFB226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2624F35"/>
    <w:multiLevelType w:val="hybridMultilevel"/>
    <w:tmpl w:val="BD223D6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4214A96"/>
    <w:multiLevelType w:val="hybridMultilevel"/>
    <w:tmpl w:val="616AA66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45E70C6"/>
    <w:multiLevelType w:val="hybridMultilevel"/>
    <w:tmpl w:val="5C14E30A"/>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68B48CB"/>
    <w:multiLevelType w:val="hybridMultilevel"/>
    <w:tmpl w:val="AB5C6EC6"/>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6A70309"/>
    <w:multiLevelType w:val="hybridMultilevel"/>
    <w:tmpl w:val="29AE4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8370BEF"/>
    <w:multiLevelType w:val="hybridMultilevel"/>
    <w:tmpl w:val="94C6E28A"/>
    <w:lvl w:ilvl="0" w:tplc="B7024FE6">
      <w:start w:val="1"/>
      <w:numFmt w:val="lowerRoman"/>
      <w:lvlText w:val="(%1)"/>
      <w:lvlJc w:val="left"/>
      <w:pPr>
        <w:ind w:left="135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8">
    <w:nsid w:val="588E15F1"/>
    <w:multiLevelType w:val="hybridMultilevel"/>
    <w:tmpl w:val="1770676E"/>
    <w:lvl w:ilvl="0" w:tplc="0409000D">
      <w:start w:val="1"/>
      <w:numFmt w:val="bullet"/>
      <w:lvlText w:val=""/>
      <w:lvlJc w:val="left"/>
      <w:pPr>
        <w:ind w:left="720" w:hanging="360"/>
      </w:pPr>
      <w:rPr>
        <w:rFonts w:ascii="Wingdings" w:hAnsi="Wingdings" w:hint="default"/>
      </w:rPr>
    </w:lvl>
    <w:lvl w:ilvl="1" w:tplc="7A06CDE2">
      <w:start w:val="2"/>
      <w:numFmt w:val="bullet"/>
      <w:lvlText w:val="•"/>
      <w:lvlJc w:val="left"/>
      <w:pPr>
        <w:ind w:left="1800" w:hanging="72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9280AFA"/>
    <w:multiLevelType w:val="hybridMultilevel"/>
    <w:tmpl w:val="AF862996"/>
    <w:lvl w:ilvl="0" w:tplc="0409000D">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0">
    <w:nsid w:val="5A4721C3"/>
    <w:multiLevelType w:val="hybridMultilevel"/>
    <w:tmpl w:val="CBCC060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5A9015FE"/>
    <w:multiLevelType w:val="hybridMultilevel"/>
    <w:tmpl w:val="B04AA62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5D664B63"/>
    <w:multiLevelType w:val="hybridMultilevel"/>
    <w:tmpl w:val="AE080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5DDA5059"/>
    <w:multiLevelType w:val="hybridMultilevel"/>
    <w:tmpl w:val="7CCC11F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F0B6BF4"/>
    <w:multiLevelType w:val="hybridMultilevel"/>
    <w:tmpl w:val="D68A2140"/>
    <w:lvl w:ilvl="0" w:tplc="0409000D">
      <w:start w:val="1"/>
      <w:numFmt w:val="bullet"/>
      <w:lvlText w:val=""/>
      <w:lvlJc w:val="left"/>
      <w:pPr>
        <w:ind w:left="720" w:hanging="360"/>
      </w:pPr>
      <w:rPr>
        <w:rFonts w:ascii="Wingdings" w:hAnsi="Wingdings" w:hint="default"/>
      </w:rPr>
    </w:lvl>
    <w:lvl w:ilvl="1" w:tplc="EC0E6AF4">
      <w:numFmt w:val="bullet"/>
      <w:lvlText w:val=""/>
      <w:lvlJc w:val="left"/>
      <w:pPr>
        <w:ind w:left="1440" w:hanging="360"/>
      </w:pPr>
      <w:rPr>
        <w:rFonts w:ascii="Symbol" w:eastAsiaTheme="minorHAnsi" w:hAnsi="Symbo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66D955D7"/>
    <w:multiLevelType w:val="hybridMultilevel"/>
    <w:tmpl w:val="B71AD0CC"/>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nsid w:val="69AB171E"/>
    <w:multiLevelType w:val="hybridMultilevel"/>
    <w:tmpl w:val="4FFE2B5A"/>
    <w:lvl w:ilvl="0" w:tplc="1AA0CD0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6A8F36B2"/>
    <w:multiLevelType w:val="hybridMultilevel"/>
    <w:tmpl w:val="F2FAE7A2"/>
    <w:lvl w:ilvl="0" w:tplc="0409000D">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6B2D7953"/>
    <w:multiLevelType w:val="hybridMultilevel"/>
    <w:tmpl w:val="5044A0E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C067AD3"/>
    <w:multiLevelType w:val="hybridMultilevel"/>
    <w:tmpl w:val="6CE272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00F407E"/>
    <w:multiLevelType w:val="hybridMultilevel"/>
    <w:tmpl w:val="BCF69A4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71313454"/>
    <w:multiLevelType w:val="hybridMultilevel"/>
    <w:tmpl w:val="F578A2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742C7B9B"/>
    <w:multiLevelType w:val="hybridMultilevel"/>
    <w:tmpl w:val="9084810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75E34DC4"/>
    <w:multiLevelType w:val="hybridMultilevel"/>
    <w:tmpl w:val="26DE94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76AE4C7F"/>
    <w:multiLevelType w:val="hybridMultilevel"/>
    <w:tmpl w:val="ED6E15B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7930025A"/>
    <w:multiLevelType w:val="hybridMultilevel"/>
    <w:tmpl w:val="D7382C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79AA496C"/>
    <w:multiLevelType w:val="multilevel"/>
    <w:tmpl w:val="CDD024D2"/>
    <w:lvl w:ilvl="0">
      <w:start w:val="1"/>
      <w:numFmt w:val="bullet"/>
      <w:lvlText w:val=""/>
      <w:lvlJc w:val="left"/>
      <w:pPr>
        <w:ind w:left="18"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nsid w:val="7B036C6F"/>
    <w:multiLevelType w:val="hybridMultilevel"/>
    <w:tmpl w:val="3CAE4168"/>
    <w:lvl w:ilvl="0" w:tplc="04090001">
      <w:start w:val="1"/>
      <w:numFmt w:val="bullet"/>
      <w:lvlText w:val=""/>
      <w:lvlJc w:val="left"/>
      <w:pPr>
        <w:ind w:left="1980" w:hanging="360"/>
      </w:pPr>
      <w:rPr>
        <w:rFonts w:ascii="Symbol" w:hAnsi="Symbol"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8">
    <w:nsid w:val="7B106356"/>
    <w:multiLevelType w:val="hybridMultilevel"/>
    <w:tmpl w:val="2B42C9C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7CAD5F64"/>
    <w:multiLevelType w:val="hybridMultilevel"/>
    <w:tmpl w:val="99E2F36E"/>
    <w:lvl w:ilvl="0" w:tplc="0809000D">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0">
    <w:nsid w:val="7D4F0728"/>
    <w:multiLevelType w:val="hybridMultilevel"/>
    <w:tmpl w:val="79BA6CE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7F5C4821"/>
    <w:multiLevelType w:val="hybridMultilevel"/>
    <w:tmpl w:val="95B269F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8"/>
  </w:num>
  <w:num w:numId="2">
    <w:abstractNumId w:val="42"/>
  </w:num>
  <w:num w:numId="3">
    <w:abstractNumId w:val="22"/>
  </w:num>
  <w:num w:numId="4">
    <w:abstractNumId w:val="19"/>
  </w:num>
  <w:num w:numId="5">
    <w:abstractNumId w:val="39"/>
  </w:num>
  <w:num w:numId="6">
    <w:abstractNumId w:val="25"/>
  </w:num>
  <w:num w:numId="7">
    <w:abstractNumId w:val="37"/>
  </w:num>
  <w:num w:numId="8">
    <w:abstractNumId w:val="41"/>
  </w:num>
  <w:num w:numId="9">
    <w:abstractNumId w:val="23"/>
  </w:num>
  <w:num w:numId="10">
    <w:abstractNumId w:val="2"/>
  </w:num>
  <w:num w:numId="11">
    <w:abstractNumId w:val="48"/>
  </w:num>
  <w:num w:numId="12">
    <w:abstractNumId w:val="70"/>
  </w:num>
  <w:num w:numId="13">
    <w:abstractNumId w:val="18"/>
  </w:num>
  <w:num w:numId="14">
    <w:abstractNumId w:val="34"/>
  </w:num>
  <w:num w:numId="15">
    <w:abstractNumId w:val="56"/>
  </w:num>
  <w:num w:numId="16">
    <w:abstractNumId w:val="21"/>
  </w:num>
  <w:num w:numId="17">
    <w:abstractNumId w:val="14"/>
  </w:num>
  <w:num w:numId="18">
    <w:abstractNumId w:val="7"/>
  </w:num>
  <w:num w:numId="19">
    <w:abstractNumId w:val="33"/>
  </w:num>
  <w:num w:numId="20">
    <w:abstractNumId w:val="47"/>
  </w:num>
  <w:num w:numId="21">
    <w:abstractNumId w:val="8"/>
  </w:num>
  <w:num w:numId="22">
    <w:abstractNumId w:val="57"/>
  </w:num>
  <w:num w:numId="23">
    <w:abstractNumId w:val="59"/>
  </w:num>
  <w:num w:numId="24">
    <w:abstractNumId w:val="43"/>
  </w:num>
  <w:num w:numId="25">
    <w:abstractNumId w:val="26"/>
  </w:num>
  <w:num w:numId="26">
    <w:abstractNumId w:val="24"/>
  </w:num>
  <w:num w:numId="27">
    <w:abstractNumId w:val="0"/>
  </w:num>
  <w:num w:numId="28">
    <w:abstractNumId w:val="68"/>
  </w:num>
  <w:num w:numId="29">
    <w:abstractNumId w:val="61"/>
  </w:num>
  <w:num w:numId="30">
    <w:abstractNumId w:val="53"/>
  </w:num>
  <w:num w:numId="31">
    <w:abstractNumId w:val="65"/>
  </w:num>
  <w:num w:numId="32">
    <w:abstractNumId w:val="51"/>
  </w:num>
  <w:num w:numId="33">
    <w:abstractNumId w:val="36"/>
  </w:num>
  <w:num w:numId="34">
    <w:abstractNumId w:val="10"/>
  </w:num>
  <w:num w:numId="35">
    <w:abstractNumId w:val="13"/>
  </w:num>
  <w:num w:numId="36">
    <w:abstractNumId w:val="30"/>
  </w:num>
  <w:num w:numId="37">
    <w:abstractNumId w:val="69"/>
  </w:num>
  <w:num w:numId="38">
    <w:abstractNumId w:val="1"/>
  </w:num>
  <w:num w:numId="39">
    <w:abstractNumId w:val="49"/>
  </w:num>
  <w:num w:numId="40">
    <w:abstractNumId w:val="52"/>
  </w:num>
  <w:num w:numId="41">
    <w:abstractNumId w:val="46"/>
  </w:num>
  <w:num w:numId="42">
    <w:abstractNumId w:val="4"/>
  </w:num>
  <w:num w:numId="43">
    <w:abstractNumId w:val="29"/>
  </w:num>
  <w:num w:numId="44">
    <w:abstractNumId w:val="16"/>
  </w:num>
  <w:num w:numId="45">
    <w:abstractNumId w:val="66"/>
  </w:num>
  <w:num w:numId="46">
    <w:abstractNumId w:val="38"/>
  </w:num>
  <w:num w:numId="47">
    <w:abstractNumId w:val="60"/>
  </w:num>
  <w:num w:numId="48">
    <w:abstractNumId w:val="45"/>
  </w:num>
  <w:num w:numId="49">
    <w:abstractNumId w:val="35"/>
  </w:num>
  <w:num w:numId="50">
    <w:abstractNumId w:val="11"/>
  </w:num>
  <w:num w:numId="51">
    <w:abstractNumId w:val="62"/>
  </w:num>
  <w:num w:numId="52">
    <w:abstractNumId w:val="5"/>
  </w:num>
  <w:num w:numId="53">
    <w:abstractNumId w:val="27"/>
  </w:num>
  <w:num w:numId="54">
    <w:abstractNumId w:val="17"/>
  </w:num>
  <w:num w:numId="55">
    <w:abstractNumId w:val="71"/>
  </w:num>
  <w:num w:numId="56">
    <w:abstractNumId w:val="15"/>
  </w:num>
  <w:num w:numId="57">
    <w:abstractNumId w:val="6"/>
  </w:num>
  <w:num w:numId="58">
    <w:abstractNumId w:val="31"/>
  </w:num>
  <w:num w:numId="59">
    <w:abstractNumId w:val="20"/>
  </w:num>
  <w:num w:numId="60">
    <w:abstractNumId w:val="44"/>
  </w:num>
  <w:num w:numId="61">
    <w:abstractNumId w:val="50"/>
  </w:num>
  <w:num w:numId="62">
    <w:abstractNumId w:val="12"/>
  </w:num>
  <w:num w:numId="63">
    <w:abstractNumId w:val="55"/>
  </w:num>
  <w:num w:numId="64">
    <w:abstractNumId w:val="63"/>
  </w:num>
  <w:num w:numId="65">
    <w:abstractNumId w:val="64"/>
  </w:num>
  <w:num w:numId="66">
    <w:abstractNumId w:val="54"/>
  </w:num>
  <w:num w:numId="67">
    <w:abstractNumId w:val="32"/>
  </w:num>
  <w:num w:numId="68">
    <w:abstractNumId w:val="67"/>
  </w:num>
  <w:num w:numId="69">
    <w:abstractNumId w:val="28"/>
  </w:num>
  <w:num w:numId="70">
    <w:abstractNumId w:val="9"/>
  </w:num>
  <w:num w:numId="71">
    <w:abstractNumId w:val="40"/>
  </w:num>
  <w:num w:numId="72">
    <w:abstractNumId w:val="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hdrShapeDefaults>
    <o:shapedefaults v:ext="edit" spidmax="2049">
      <o:colormru v:ext="edit" colors="#cdddeb,#d0e6e8,#cdd8eb,#fb9797,#fcb6b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01AC"/>
    <w:rsid w:val="00003EA2"/>
    <w:rsid w:val="00004652"/>
    <w:rsid w:val="00004E06"/>
    <w:rsid w:val="00012628"/>
    <w:rsid w:val="00020B57"/>
    <w:rsid w:val="000300F6"/>
    <w:rsid w:val="0004644D"/>
    <w:rsid w:val="00050F0D"/>
    <w:rsid w:val="00055F86"/>
    <w:rsid w:val="000638F0"/>
    <w:rsid w:val="0006497D"/>
    <w:rsid w:val="00086F49"/>
    <w:rsid w:val="000901A8"/>
    <w:rsid w:val="00091910"/>
    <w:rsid w:val="000937DE"/>
    <w:rsid w:val="000A2A62"/>
    <w:rsid w:val="000D029B"/>
    <w:rsid w:val="000D2100"/>
    <w:rsid w:val="000D561D"/>
    <w:rsid w:val="000E3702"/>
    <w:rsid w:val="000E3A02"/>
    <w:rsid w:val="000E4B41"/>
    <w:rsid w:val="000F006B"/>
    <w:rsid w:val="000F65A6"/>
    <w:rsid w:val="00104048"/>
    <w:rsid w:val="00110F3A"/>
    <w:rsid w:val="001144F0"/>
    <w:rsid w:val="001145EC"/>
    <w:rsid w:val="00127900"/>
    <w:rsid w:val="00131C33"/>
    <w:rsid w:val="0013303C"/>
    <w:rsid w:val="00133EDB"/>
    <w:rsid w:val="00140F83"/>
    <w:rsid w:val="00146FB6"/>
    <w:rsid w:val="001522C0"/>
    <w:rsid w:val="00152E2B"/>
    <w:rsid w:val="00154957"/>
    <w:rsid w:val="00155CB1"/>
    <w:rsid w:val="00156A2E"/>
    <w:rsid w:val="001576AC"/>
    <w:rsid w:val="00165C31"/>
    <w:rsid w:val="00181EB4"/>
    <w:rsid w:val="00184808"/>
    <w:rsid w:val="0018502F"/>
    <w:rsid w:val="001923D4"/>
    <w:rsid w:val="00192428"/>
    <w:rsid w:val="0019464C"/>
    <w:rsid w:val="001A0512"/>
    <w:rsid w:val="001A233C"/>
    <w:rsid w:val="001A3392"/>
    <w:rsid w:val="001B08FB"/>
    <w:rsid w:val="001C19BC"/>
    <w:rsid w:val="001C4125"/>
    <w:rsid w:val="001D4AC4"/>
    <w:rsid w:val="001E2869"/>
    <w:rsid w:val="001F0D4E"/>
    <w:rsid w:val="00201B0F"/>
    <w:rsid w:val="0020579A"/>
    <w:rsid w:val="0022262E"/>
    <w:rsid w:val="00230102"/>
    <w:rsid w:val="0023125B"/>
    <w:rsid w:val="00231763"/>
    <w:rsid w:val="00252447"/>
    <w:rsid w:val="00260987"/>
    <w:rsid w:val="002809CC"/>
    <w:rsid w:val="00293A7C"/>
    <w:rsid w:val="00296099"/>
    <w:rsid w:val="002B27C2"/>
    <w:rsid w:val="002B6BE4"/>
    <w:rsid w:val="002C2A7B"/>
    <w:rsid w:val="002C30E7"/>
    <w:rsid w:val="002E1CF1"/>
    <w:rsid w:val="002F1A85"/>
    <w:rsid w:val="002F63C3"/>
    <w:rsid w:val="002F7BFE"/>
    <w:rsid w:val="00303473"/>
    <w:rsid w:val="00310962"/>
    <w:rsid w:val="00312B04"/>
    <w:rsid w:val="0031471E"/>
    <w:rsid w:val="00327E9C"/>
    <w:rsid w:val="0033250E"/>
    <w:rsid w:val="003336A7"/>
    <w:rsid w:val="003555B4"/>
    <w:rsid w:val="00357D4D"/>
    <w:rsid w:val="003618FA"/>
    <w:rsid w:val="00375A9F"/>
    <w:rsid w:val="00380751"/>
    <w:rsid w:val="00381DED"/>
    <w:rsid w:val="00381F12"/>
    <w:rsid w:val="003858C0"/>
    <w:rsid w:val="00395D3E"/>
    <w:rsid w:val="003A31C0"/>
    <w:rsid w:val="003A4B50"/>
    <w:rsid w:val="003A7B50"/>
    <w:rsid w:val="003B3925"/>
    <w:rsid w:val="003B44F8"/>
    <w:rsid w:val="003C3666"/>
    <w:rsid w:val="003C427A"/>
    <w:rsid w:val="003C5155"/>
    <w:rsid w:val="003D58A5"/>
    <w:rsid w:val="003D6241"/>
    <w:rsid w:val="003E398A"/>
    <w:rsid w:val="003E557E"/>
    <w:rsid w:val="003E5A6D"/>
    <w:rsid w:val="003F0BBC"/>
    <w:rsid w:val="003F2194"/>
    <w:rsid w:val="00406CCD"/>
    <w:rsid w:val="00410FF8"/>
    <w:rsid w:val="004147EA"/>
    <w:rsid w:val="00416CEC"/>
    <w:rsid w:val="00421EE8"/>
    <w:rsid w:val="004320B0"/>
    <w:rsid w:val="0044211D"/>
    <w:rsid w:val="00445EEB"/>
    <w:rsid w:val="004469A4"/>
    <w:rsid w:val="0045726A"/>
    <w:rsid w:val="0047166D"/>
    <w:rsid w:val="00472F62"/>
    <w:rsid w:val="00483B13"/>
    <w:rsid w:val="00496F7D"/>
    <w:rsid w:val="004B2B53"/>
    <w:rsid w:val="004B5051"/>
    <w:rsid w:val="004C0CAB"/>
    <w:rsid w:val="004C355B"/>
    <w:rsid w:val="004C7914"/>
    <w:rsid w:val="004D297C"/>
    <w:rsid w:val="004D433D"/>
    <w:rsid w:val="004D5C1E"/>
    <w:rsid w:val="004F0068"/>
    <w:rsid w:val="004F2C80"/>
    <w:rsid w:val="00500482"/>
    <w:rsid w:val="005126EB"/>
    <w:rsid w:val="00527FD9"/>
    <w:rsid w:val="0053220A"/>
    <w:rsid w:val="00537AD8"/>
    <w:rsid w:val="00552B6F"/>
    <w:rsid w:val="00552CB6"/>
    <w:rsid w:val="00560722"/>
    <w:rsid w:val="00571254"/>
    <w:rsid w:val="00572EB5"/>
    <w:rsid w:val="00573ECF"/>
    <w:rsid w:val="00581276"/>
    <w:rsid w:val="0058133E"/>
    <w:rsid w:val="00590722"/>
    <w:rsid w:val="00591DB0"/>
    <w:rsid w:val="00594E7D"/>
    <w:rsid w:val="005B4606"/>
    <w:rsid w:val="005D283F"/>
    <w:rsid w:val="005D63F1"/>
    <w:rsid w:val="005E070C"/>
    <w:rsid w:val="005E5D4E"/>
    <w:rsid w:val="005E65E9"/>
    <w:rsid w:val="005F095C"/>
    <w:rsid w:val="005F1067"/>
    <w:rsid w:val="0060764D"/>
    <w:rsid w:val="0062360C"/>
    <w:rsid w:val="00627341"/>
    <w:rsid w:val="00636556"/>
    <w:rsid w:val="006374CD"/>
    <w:rsid w:val="0064491E"/>
    <w:rsid w:val="006517CF"/>
    <w:rsid w:val="006535D1"/>
    <w:rsid w:val="00674233"/>
    <w:rsid w:val="006748D1"/>
    <w:rsid w:val="0067540E"/>
    <w:rsid w:val="006846CA"/>
    <w:rsid w:val="00691B8C"/>
    <w:rsid w:val="00691DD1"/>
    <w:rsid w:val="006A18EA"/>
    <w:rsid w:val="006A2C41"/>
    <w:rsid w:val="006A3FE4"/>
    <w:rsid w:val="006C2779"/>
    <w:rsid w:val="006C688B"/>
    <w:rsid w:val="006D2B99"/>
    <w:rsid w:val="006E2A5D"/>
    <w:rsid w:val="006F1D07"/>
    <w:rsid w:val="006F5AE3"/>
    <w:rsid w:val="006F72B2"/>
    <w:rsid w:val="0070449D"/>
    <w:rsid w:val="00706E43"/>
    <w:rsid w:val="00706FD9"/>
    <w:rsid w:val="00707FCF"/>
    <w:rsid w:val="00711B53"/>
    <w:rsid w:val="0073262A"/>
    <w:rsid w:val="007355B3"/>
    <w:rsid w:val="00741080"/>
    <w:rsid w:val="00742BAD"/>
    <w:rsid w:val="00747787"/>
    <w:rsid w:val="00750C31"/>
    <w:rsid w:val="00752697"/>
    <w:rsid w:val="00752706"/>
    <w:rsid w:val="00752FA1"/>
    <w:rsid w:val="0077690A"/>
    <w:rsid w:val="007830AB"/>
    <w:rsid w:val="0079079D"/>
    <w:rsid w:val="00790F6B"/>
    <w:rsid w:val="007A5418"/>
    <w:rsid w:val="007C4F78"/>
    <w:rsid w:val="007C5B29"/>
    <w:rsid w:val="007C6BF4"/>
    <w:rsid w:val="007C7920"/>
    <w:rsid w:val="007E491F"/>
    <w:rsid w:val="007E6AB4"/>
    <w:rsid w:val="007F3560"/>
    <w:rsid w:val="007F43EC"/>
    <w:rsid w:val="00801E92"/>
    <w:rsid w:val="008033E4"/>
    <w:rsid w:val="00811A63"/>
    <w:rsid w:val="00832F5E"/>
    <w:rsid w:val="0083468A"/>
    <w:rsid w:val="00834B0C"/>
    <w:rsid w:val="00835FB3"/>
    <w:rsid w:val="00841F80"/>
    <w:rsid w:val="00843044"/>
    <w:rsid w:val="00855FE2"/>
    <w:rsid w:val="00862ADF"/>
    <w:rsid w:val="00864F78"/>
    <w:rsid w:val="008660FF"/>
    <w:rsid w:val="00866A50"/>
    <w:rsid w:val="008672E4"/>
    <w:rsid w:val="00874E22"/>
    <w:rsid w:val="0087686E"/>
    <w:rsid w:val="008815BE"/>
    <w:rsid w:val="008828A5"/>
    <w:rsid w:val="00883B55"/>
    <w:rsid w:val="008A4D5E"/>
    <w:rsid w:val="008B611C"/>
    <w:rsid w:val="008B6B82"/>
    <w:rsid w:val="008C59F1"/>
    <w:rsid w:val="008D1907"/>
    <w:rsid w:val="008D1A24"/>
    <w:rsid w:val="008D1E70"/>
    <w:rsid w:val="008D2A54"/>
    <w:rsid w:val="008D3AE2"/>
    <w:rsid w:val="008F51DA"/>
    <w:rsid w:val="008F587C"/>
    <w:rsid w:val="0090215E"/>
    <w:rsid w:val="009023D3"/>
    <w:rsid w:val="00902FD1"/>
    <w:rsid w:val="00907044"/>
    <w:rsid w:val="009241DC"/>
    <w:rsid w:val="0092656E"/>
    <w:rsid w:val="00927E3E"/>
    <w:rsid w:val="00936357"/>
    <w:rsid w:val="00945D95"/>
    <w:rsid w:val="00947725"/>
    <w:rsid w:val="00951CE8"/>
    <w:rsid w:val="00952163"/>
    <w:rsid w:val="00952F1F"/>
    <w:rsid w:val="00953B7C"/>
    <w:rsid w:val="009628B8"/>
    <w:rsid w:val="009634AF"/>
    <w:rsid w:val="009650BF"/>
    <w:rsid w:val="00981031"/>
    <w:rsid w:val="00990BC0"/>
    <w:rsid w:val="0099135E"/>
    <w:rsid w:val="00993A4D"/>
    <w:rsid w:val="00995949"/>
    <w:rsid w:val="0099731D"/>
    <w:rsid w:val="009A3ABD"/>
    <w:rsid w:val="009B24ED"/>
    <w:rsid w:val="009B5DE4"/>
    <w:rsid w:val="009C1240"/>
    <w:rsid w:val="009C14FD"/>
    <w:rsid w:val="009C281D"/>
    <w:rsid w:val="009C4517"/>
    <w:rsid w:val="009D2AEE"/>
    <w:rsid w:val="009E3C65"/>
    <w:rsid w:val="009E4D11"/>
    <w:rsid w:val="009E627C"/>
    <w:rsid w:val="009E6CCB"/>
    <w:rsid w:val="009F652C"/>
    <w:rsid w:val="00A03D5F"/>
    <w:rsid w:val="00A05B2F"/>
    <w:rsid w:val="00A07508"/>
    <w:rsid w:val="00A13BD4"/>
    <w:rsid w:val="00A169DD"/>
    <w:rsid w:val="00A225AA"/>
    <w:rsid w:val="00A45E22"/>
    <w:rsid w:val="00A57033"/>
    <w:rsid w:val="00A63C47"/>
    <w:rsid w:val="00A85BC1"/>
    <w:rsid w:val="00A9297F"/>
    <w:rsid w:val="00A9425C"/>
    <w:rsid w:val="00AA12FD"/>
    <w:rsid w:val="00AB37FE"/>
    <w:rsid w:val="00AC5CC7"/>
    <w:rsid w:val="00AD55EA"/>
    <w:rsid w:val="00AE2B98"/>
    <w:rsid w:val="00AF2307"/>
    <w:rsid w:val="00AF465F"/>
    <w:rsid w:val="00B062C7"/>
    <w:rsid w:val="00B062C8"/>
    <w:rsid w:val="00B15A01"/>
    <w:rsid w:val="00B1760A"/>
    <w:rsid w:val="00B232BA"/>
    <w:rsid w:val="00B23540"/>
    <w:rsid w:val="00B24A60"/>
    <w:rsid w:val="00B31A8F"/>
    <w:rsid w:val="00B42168"/>
    <w:rsid w:val="00B54DFE"/>
    <w:rsid w:val="00B60576"/>
    <w:rsid w:val="00B62335"/>
    <w:rsid w:val="00B71084"/>
    <w:rsid w:val="00B80A1A"/>
    <w:rsid w:val="00B84147"/>
    <w:rsid w:val="00B8595B"/>
    <w:rsid w:val="00B86ADA"/>
    <w:rsid w:val="00B91301"/>
    <w:rsid w:val="00B91A34"/>
    <w:rsid w:val="00B97D35"/>
    <w:rsid w:val="00BA5839"/>
    <w:rsid w:val="00BA7E81"/>
    <w:rsid w:val="00BB58F6"/>
    <w:rsid w:val="00BC2FB2"/>
    <w:rsid w:val="00BE0FB4"/>
    <w:rsid w:val="00BE3045"/>
    <w:rsid w:val="00BE524C"/>
    <w:rsid w:val="00BF21DE"/>
    <w:rsid w:val="00BF2ED8"/>
    <w:rsid w:val="00BF3F96"/>
    <w:rsid w:val="00C0517B"/>
    <w:rsid w:val="00C05E9A"/>
    <w:rsid w:val="00C23631"/>
    <w:rsid w:val="00C2736F"/>
    <w:rsid w:val="00C378A0"/>
    <w:rsid w:val="00C4356B"/>
    <w:rsid w:val="00C46205"/>
    <w:rsid w:val="00C50B2A"/>
    <w:rsid w:val="00C76A34"/>
    <w:rsid w:val="00C77218"/>
    <w:rsid w:val="00C83D34"/>
    <w:rsid w:val="00C91548"/>
    <w:rsid w:val="00C93571"/>
    <w:rsid w:val="00C979BA"/>
    <w:rsid w:val="00CA06E2"/>
    <w:rsid w:val="00CA3358"/>
    <w:rsid w:val="00CA61C3"/>
    <w:rsid w:val="00CB37D2"/>
    <w:rsid w:val="00CB4BAC"/>
    <w:rsid w:val="00CD60E5"/>
    <w:rsid w:val="00CE1A4F"/>
    <w:rsid w:val="00CE3E92"/>
    <w:rsid w:val="00CF2FB9"/>
    <w:rsid w:val="00D01C1E"/>
    <w:rsid w:val="00D0267E"/>
    <w:rsid w:val="00D267E6"/>
    <w:rsid w:val="00D2703B"/>
    <w:rsid w:val="00D27D90"/>
    <w:rsid w:val="00D42163"/>
    <w:rsid w:val="00D43D8A"/>
    <w:rsid w:val="00D502AF"/>
    <w:rsid w:val="00D527EB"/>
    <w:rsid w:val="00D601AC"/>
    <w:rsid w:val="00D6139F"/>
    <w:rsid w:val="00D630B5"/>
    <w:rsid w:val="00D65411"/>
    <w:rsid w:val="00D65DBD"/>
    <w:rsid w:val="00D82EF0"/>
    <w:rsid w:val="00D84B91"/>
    <w:rsid w:val="00D84E13"/>
    <w:rsid w:val="00D9475D"/>
    <w:rsid w:val="00DB67CF"/>
    <w:rsid w:val="00DC00F1"/>
    <w:rsid w:val="00DC052A"/>
    <w:rsid w:val="00DD5842"/>
    <w:rsid w:val="00DE06D9"/>
    <w:rsid w:val="00DE1A0B"/>
    <w:rsid w:val="00DE4AF9"/>
    <w:rsid w:val="00DF59E4"/>
    <w:rsid w:val="00E05E94"/>
    <w:rsid w:val="00E067B1"/>
    <w:rsid w:val="00E100EC"/>
    <w:rsid w:val="00E176DF"/>
    <w:rsid w:val="00E17F25"/>
    <w:rsid w:val="00E22938"/>
    <w:rsid w:val="00E24B80"/>
    <w:rsid w:val="00E26023"/>
    <w:rsid w:val="00E260E8"/>
    <w:rsid w:val="00E40358"/>
    <w:rsid w:val="00E53784"/>
    <w:rsid w:val="00E60510"/>
    <w:rsid w:val="00E651EA"/>
    <w:rsid w:val="00E67123"/>
    <w:rsid w:val="00E7329D"/>
    <w:rsid w:val="00E74021"/>
    <w:rsid w:val="00E74619"/>
    <w:rsid w:val="00E748CC"/>
    <w:rsid w:val="00E81003"/>
    <w:rsid w:val="00E81811"/>
    <w:rsid w:val="00E96B21"/>
    <w:rsid w:val="00EA3BCD"/>
    <w:rsid w:val="00EB5F77"/>
    <w:rsid w:val="00EC03DF"/>
    <w:rsid w:val="00EC3395"/>
    <w:rsid w:val="00ED43BF"/>
    <w:rsid w:val="00EE0BF5"/>
    <w:rsid w:val="00EE2BEC"/>
    <w:rsid w:val="00EE7816"/>
    <w:rsid w:val="00EF3F0F"/>
    <w:rsid w:val="00F003A9"/>
    <w:rsid w:val="00F051AD"/>
    <w:rsid w:val="00F066F5"/>
    <w:rsid w:val="00F11092"/>
    <w:rsid w:val="00F11BF4"/>
    <w:rsid w:val="00F13B5D"/>
    <w:rsid w:val="00F25530"/>
    <w:rsid w:val="00F31249"/>
    <w:rsid w:val="00F33E7E"/>
    <w:rsid w:val="00F36EC0"/>
    <w:rsid w:val="00F414DC"/>
    <w:rsid w:val="00F455F9"/>
    <w:rsid w:val="00F53773"/>
    <w:rsid w:val="00F53D8B"/>
    <w:rsid w:val="00F55F17"/>
    <w:rsid w:val="00F66504"/>
    <w:rsid w:val="00F724F2"/>
    <w:rsid w:val="00F73017"/>
    <w:rsid w:val="00F81069"/>
    <w:rsid w:val="00F84D89"/>
    <w:rsid w:val="00F85448"/>
    <w:rsid w:val="00F95809"/>
    <w:rsid w:val="00FB5015"/>
    <w:rsid w:val="00FC0241"/>
    <w:rsid w:val="00FC12C0"/>
    <w:rsid w:val="00FD0A60"/>
    <w:rsid w:val="00FD325A"/>
    <w:rsid w:val="00FD6ED9"/>
    <w:rsid w:val="00FD7F20"/>
    <w:rsid w:val="00FE1C62"/>
    <w:rsid w:val="00FF064C"/>
    <w:rsid w:val="00FF0FD2"/>
    <w:rsid w:val="00FF6A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dddeb,#d0e6e8,#cdd8eb,#fb9797,#fcb6b6"/>
    </o:shapedefaults>
    <o:shapelayout v:ext="edit">
      <o:idmap v:ext="edit" data="1"/>
    </o:shapelayout>
  </w:shapeDefaults>
  <w:decimalSymbol w:val="."/>
  <w:listSeparator w:val=","/>
  <w14:docId w14:val="3BA6A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ro-RO"/>
    </w:rPr>
  </w:style>
  <w:style w:type="paragraph" w:styleId="Heading1">
    <w:name w:val="heading 1"/>
    <w:basedOn w:val="Normal"/>
    <w:next w:val="Normal"/>
    <w:link w:val="Heading1Char"/>
    <w:uiPriority w:val="9"/>
    <w:qFormat/>
    <w:rsid w:val="00EE781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F63C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7816"/>
    <w:rPr>
      <w:rFonts w:asciiTheme="majorHAnsi" w:eastAsiaTheme="majorEastAsia" w:hAnsiTheme="majorHAnsi" w:cstheme="majorBidi"/>
      <w:b/>
      <w:bCs/>
      <w:color w:val="365F91" w:themeColor="accent1" w:themeShade="BF"/>
      <w:sz w:val="28"/>
      <w:szCs w:val="28"/>
      <w:lang w:val="ro-RO"/>
    </w:rPr>
  </w:style>
  <w:style w:type="paragraph" w:styleId="TOCHeading">
    <w:name w:val="TOC Heading"/>
    <w:basedOn w:val="Heading1"/>
    <w:next w:val="Normal"/>
    <w:uiPriority w:val="39"/>
    <w:unhideWhenUsed/>
    <w:qFormat/>
    <w:rsid w:val="00EE7816"/>
    <w:pPr>
      <w:outlineLvl w:val="9"/>
    </w:pPr>
    <w:rPr>
      <w:lang w:val="en-US" w:eastAsia="ja-JP"/>
    </w:rPr>
  </w:style>
  <w:style w:type="paragraph" w:styleId="BalloonText">
    <w:name w:val="Balloon Text"/>
    <w:basedOn w:val="Normal"/>
    <w:link w:val="BalloonTextChar"/>
    <w:uiPriority w:val="99"/>
    <w:semiHidden/>
    <w:unhideWhenUsed/>
    <w:rsid w:val="00EE78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7816"/>
    <w:rPr>
      <w:rFonts w:ascii="Tahoma" w:hAnsi="Tahoma" w:cs="Tahoma"/>
      <w:sz w:val="16"/>
      <w:szCs w:val="16"/>
      <w:lang w:val="ro-RO"/>
    </w:rPr>
  </w:style>
  <w:style w:type="paragraph" w:styleId="TOC2">
    <w:name w:val="toc 2"/>
    <w:basedOn w:val="Normal"/>
    <w:next w:val="Normal"/>
    <w:autoRedefine/>
    <w:uiPriority w:val="39"/>
    <w:semiHidden/>
    <w:unhideWhenUsed/>
    <w:qFormat/>
    <w:rsid w:val="00EE7816"/>
    <w:pPr>
      <w:spacing w:after="100"/>
      <w:ind w:left="220"/>
    </w:pPr>
    <w:rPr>
      <w:rFonts w:eastAsiaTheme="minorEastAsia"/>
      <w:lang w:val="en-US" w:eastAsia="ja-JP"/>
    </w:rPr>
  </w:style>
  <w:style w:type="paragraph" w:styleId="TOC1">
    <w:name w:val="toc 1"/>
    <w:basedOn w:val="Normal"/>
    <w:next w:val="Normal"/>
    <w:autoRedefine/>
    <w:uiPriority w:val="39"/>
    <w:semiHidden/>
    <w:unhideWhenUsed/>
    <w:qFormat/>
    <w:rsid w:val="00EE7816"/>
    <w:pPr>
      <w:spacing w:after="100"/>
    </w:pPr>
    <w:rPr>
      <w:rFonts w:eastAsiaTheme="minorEastAsia"/>
      <w:lang w:val="en-US" w:eastAsia="ja-JP"/>
    </w:rPr>
  </w:style>
  <w:style w:type="paragraph" w:styleId="TOC3">
    <w:name w:val="toc 3"/>
    <w:basedOn w:val="Normal"/>
    <w:next w:val="Normal"/>
    <w:autoRedefine/>
    <w:uiPriority w:val="39"/>
    <w:semiHidden/>
    <w:unhideWhenUsed/>
    <w:qFormat/>
    <w:rsid w:val="00EE7816"/>
    <w:pPr>
      <w:spacing w:after="100"/>
      <w:ind w:left="440"/>
    </w:pPr>
    <w:rPr>
      <w:rFonts w:eastAsiaTheme="minorEastAsia"/>
      <w:lang w:val="en-US" w:eastAsia="ja-JP"/>
    </w:rPr>
  </w:style>
  <w:style w:type="paragraph" w:styleId="ListParagraph">
    <w:name w:val="List Paragraph"/>
    <w:basedOn w:val="Normal"/>
    <w:uiPriority w:val="34"/>
    <w:qFormat/>
    <w:rsid w:val="00EE7816"/>
    <w:pPr>
      <w:ind w:left="720"/>
      <w:contextualSpacing/>
    </w:pPr>
  </w:style>
  <w:style w:type="table" w:styleId="TableGrid">
    <w:name w:val="Table Grid"/>
    <w:basedOn w:val="TableNormal"/>
    <w:uiPriority w:val="59"/>
    <w:rsid w:val="00EE78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1">
    <w:name w:val="Light List Accent 1"/>
    <w:basedOn w:val="TableNormal"/>
    <w:uiPriority w:val="61"/>
    <w:rsid w:val="00EE7816"/>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Heading2Char">
    <w:name w:val="Heading 2 Char"/>
    <w:basedOn w:val="DefaultParagraphFont"/>
    <w:link w:val="Heading2"/>
    <w:uiPriority w:val="9"/>
    <w:semiHidden/>
    <w:rsid w:val="002F63C3"/>
    <w:rPr>
      <w:rFonts w:asciiTheme="majorHAnsi" w:eastAsiaTheme="majorEastAsia" w:hAnsiTheme="majorHAnsi" w:cstheme="majorBidi"/>
      <w:b/>
      <w:bCs/>
      <w:color w:val="4F81BD" w:themeColor="accent1"/>
      <w:sz w:val="26"/>
      <w:szCs w:val="26"/>
      <w:lang w:val="ro-RO"/>
    </w:rPr>
  </w:style>
  <w:style w:type="paragraph" w:styleId="FootnoteText">
    <w:name w:val="footnote text"/>
    <w:basedOn w:val="Normal"/>
    <w:link w:val="FootnoteTextChar"/>
    <w:uiPriority w:val="99"/>
    <w:semiHidden/>
    <w:unhideWhenUsed/>
    <w:rsid w:val="00AF230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F2307"/>
    <w:rPr>
      <w:sz w:val="20"/>
      <w:szCs w:val="20"/>
      <w:lang w:val="ro-RO"/>
    </w:rPr>
  </w:style>
  <w:style w:type="character" w:styleId="FootnoteReference">
    <w:name w:val="footnote reference"/>
    <w:basedOn w:val="DefaultParagraphFont"/>
    <w:uiPriority w:val="99"/>
    <w:semiHidden/>
    <w:unhideWhenUsed/>
    <w:rsid w:val="00AF2307"/>
    <w:rPr>
      <w:vertAlign w:val="superscript"/>
    </w:rPr>
  </w:style>
  <w:style w:type="paragraph" w:customStyle="1" w:styleId="AddressTR">
    <w:name w:val="AddressTR"/>
    <w:basedOn w:val="Normal"/>
    <w:next w:val="Normal"/>
    <w:rsid w:val="00AF2307"/>
    <w:pPr>
      <w:spacing w:after="720" w:line="240" w:lineRule="auto"/>
      <w:ind w:left="5103"/>
    </w:pPr>
    <w:rPr>
      <w:rFonts w:ascii="Calibri" w:eastAsia="Times New Roman" w:hAnsi="Calibri" w:cs="Times New Roman"/>
      <w:sz w:val="24"/>
      <w:szCs w:val="24"/>
      <w:lang w:val="en-GB" w:eastAsia="en-GB"/>
    </w:rPr>
  </w:style>
  <w:style w:type="paragraph" w:styleId="Header">
    <w:name w:val="header"/>
    <w:basedOn w:val="Normal"/>
    <w:link w:val="HeaderChar"/>
    <w:uiPriority w:val="99"/>
    <w:unhideWhenUsed/>
    <w:rsid w:val="00D026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267E"/>
    <w:rPr>
      <w:lang w:val="ro-RO"/>
    </w:rPr>
  </w:style>
  <w:style w:type="paragraph" w:styleId="Footer">
    <w:name w:val="footer"/>
    <w:basedOn w:val="Normal"/>
    <w:link w:val="FooterChar"/>
    <w:uiPriority w:val="99"/>
    <w:unhideWhenUsed/>
    <w:rsid w:val="00D026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267E"/>
    <w:rPr>
      <w:lang w:val="ro-RO"/>
    </w:rPr>
  </w:style>
  <w:style w:type="table" w:styleId="LightShading-Accent3">
    <w:name w:val="Light Shading Accent 3"/>
    <w:basedOn w:val="TableNormal"/>
    <w:uiPriority w:val="60"/>
    <w:rsid w:val="00B232BA"/>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5">
    <w:name w:val="Light Shading Accent 5"/>
    <w:basedOn w:val="TableNormal"/>
    <w:uiPriority w:val="60"/>
    <w:rsid w:val="00B232BA"/>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Grid-Accent1">
    <w:name w:val="Light Grid Accent 1"/>
    <w:basedOn w:val="TableNormal"/>
    <w:uiPriority w:val="62"/>
    <w:rsid w:val="00B232BA"/>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styleId="Hyperlink">
    <w:name w:val="Hyperlink"/>
    <w:basedOn w:val="DefaultParagraphFont"/>
    <w:uiPriority w:val="99"/>
    <w:unhideWhenUsed/>
    <w:rsid w:val="006F5AE3"/>
    <w:rPr>
      <w:color w:val="0000FF" w:themeColor="hyperlink"/>
      <w:u w:val="single"/>
    </w:rPr>
  </w:style>
  <w:style w:type="paragraph" w:customStyle="1" w:styleId="Guidelines5">
    <w:name w:val="Guidelines 5"/>
    <w:basedOn w:val="Normal"/>
    <w:rsid w:val="00FF6A93"/>
    <w:pPr>
      <w:keepNext/>
      <w:spacing w:before="240" w:after="240" w:line="240" w:lineRule="auto"/>
      <w:jc w:val="both"/>
    </w:pPr>
    <w:rPr>
      <w:rFonts w:ascii="Verdana" w:eastAsia="Times New Roman" w:hAnsi="Verdana" w:cs="Times New Roman"/>
      <w:b/>
      <w:noProof/>
      <w:snapToGrid w:val="0"/>
      <w:sz w:val="24"/>
      <w:szCs w:val="20"/>
    </w:rPr>
  </w:style>
  <w:style w:type="paragraph" w:customStyle="1" w:styleId="Bulletletter">
    <w:name w:val="Bullet letter"/>
    <w:basedOn w:val="Normal"/>
    <w:rsid w:val="00FF6A93"/>
    <w:pPr>
      <w:keepNext/>
      <w:numPr>
        <w:numId w:val="21"/>
      </w:numPr>
      <w:tabs>
        <w:tab w:val="left" w:pos="-3402"/>
        <w:tab w:val="num" w:pos="567"/>
      </w:tabs>
      <w:spacing w:after="120" w:line="240" w:lineRule="auto"/>
      <w:ind w:left="567" w:hanging="567"/>
      <w:jc w:val="both"/>
    </w:pPr>
    <w:rPr>
      <w:rFonts w:ascii="Arial" w:eastAsia="Times New Roman" w:hAnsi="Arial" w:cs="Times New Roman"/>
      <w:szCs w:val="20"/>
      <w:lang w:val="en-IE"/>
    </w:rPr>
  </w:style>
  <w:style w:type="character" w:styleId="CommentReference">
    <w:name w:val="annotation reference"/>
    <w:basedOn w:val="DefaultParagraphFont"/>
    <w:uiPriority w:val="99"/>
    <w:semiHidden/>
    <w:unhideWhenUsed/>
    <w:rsid w:val="001522C0"/>
    <w:rPr>
      <w:sz w:val="16"/>
      <w:szCs w:val="16"/>
    </w:rPr>
  </w:style>
  <w:style w:type="paragraph" w:styleId="CommentText">
    <w:name w:val="annotation text"/>
    <w:basedOn w:val="Normal"/>
    <w:link w:val="CommentTextChar"/>
    <w:uiPriority w:val="99"/>
    <w:semiHidden/>
    <w:unhideWhenUsed/>
    <w:rsid w:val="001522C0"/>
    <w:pPr>
      <w:spacing w:line="240" w:lineRule="auto"/>
    </w:pPr>
    <w:rPr>
      <w:sz w:val="20"/>
      <w:szCs w:val="20"/>
    </w:rPr>
  </w:style>
  <w:style w:type="character" w:customStyle="1" w:styleId="CommentTextChar">
    <w:name w:val="Comment Text Char"/>
    <w:basedOn w:val="DefaultParagraphFont"/>
    <w:link w:val="CommentText"/>
    <w:uiPriority w:val="99"/>
    <w:semiHidden/>
    <w:rsid w:val="001522C0"/>
    <w:rPr>
      <w:sz w:val="20"/>
      <w:szCs w:val="20"/>
      <w:lang w:val="ro-RO"/>
    </w:rPr>
  </w:style>
  <w:style w:type="paragraph" w:styleId="CommentSubject">
    <w:name w:val="annotation subject"/>
    <w:basedOn w:val="CommentText"/>
    <w:next w:val="CommentText"/>
    <w:link w:val="CommentSubjectChar"/>
    <w:uiPriority w:val="99"/>
    <w:semiHidden/>
    <w:unhideWhenUsed/>
    <w:rsid w:val="001522C0"/>
    <w:rPr>
      <w:b/>
      <w:bCs/>
    </w:rPr>
  </w:style>
  <w:style w:type="character" w:customStyle="1" w:styleId="CommentSubjectChar">
    <w:name w:val="Comment Subject Char"/>
    <w:basedOn w:val="CommentTextChar"/>
    <w:link w:val="CommentSubject"/>
    <w:uiPriority w:val="99"/>
    <w:semiHidden/>
    <w:rsid w:val="001522C0"/>
    <w:rPr>
      <w:b/>
      <w:bCs/>
      <w:sz w:val="20"/>
      <w:szCs w:val="20"/>
      <w:lang w:val="ro-RO"/>
    </w:rPr>
  </w:style>
  <w:style w:type="paragraph" w:customStyle="1" w:styleId="Default">
    <w:name w:val="Default"/>
    <w:rsid w:val="0099731D"/>
    <w:pPr>
      <w:autoSpaceDE w:val="0"/>
      <w:autoSpaceDN w:val="0"/>
      <w:adjustRightInd w:val="0"/>
      <w:spacing w:after="0" w:line="240" w:lineRule="auto"/>
    </w:pPr>
    <w:rPr>
      <w:rFonts w:ascii="Calibri" w:hAnsi="Calibri" w:cs="Calibri"/>
      <w:color w:val="000000"/>
      <w:sz w:val="24"/>
      <w:szCs w:val="24"/>
    </w:rPr>
  </w:style>
  <w:style w:type="table" w:styleId="LightShading-Accent1">
    <w:name w:val="Light Shading Accent 1"/>
    <w:basedOn w:val="TableNormal"/>
    <w:uiPriority w:val="60"/>
    <w:rsid w:val="00F73017"/>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ro-RO"/>
    </w:rPr>
  </w:style>
  <w:style w:type="paragraph" w:styleId="Heading1">
    <w:name w:val="heading 1"/>
    <w:basedOn w:val="Normal"/>
    <w:next w:val="Normal"/>
    <w:link w:val="Heading1Char"/>
    <w:uiPriority w:val="9"/>
    <w:qFormat/>
    <w:rsid w:val="00EE781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F63C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7816"/>
    <w:rPr>
      <w:rFonts w:asciiTheme="majorHAnsi" w:eastAsiaTheme="majorEastAsia" w:hAnsiTheme="majorHAnsi" w:cstheme="majorBidi"/>
      <w:b/>
      <w:bCs/>
      <w:color w:val="365F91" w:themeColor="accent1" w:themeShade="BF"/>
      <w:sz w:val="28"/>
      <w:szCs w:val="28"/>
      <w:lang w:val="ro-RO"/>
    </w:rPr>
  </w:style>
  <w:style w:type="paragraph" w:styleId="TOCHeading">
    <w:name w:val="TOC Heading"/>
    <w:basedOn w:val="Heading1"/>
    <w:next w:val="Normal"/>
    <w:uiPriority w:val="39"/>
    <w:unhideWhenUsed/>
    <w:qFormat/>
    <w:rsid w:val="00EE7816"/>
    <w:pPr>
      <w:outlineLvl w:val="9"/>
    </w:pPr>
    <w:rPr>
      <w:lang w:val="en-US" w:eastAsia="ja-JP"/>
    </w:rPr>
  </w:style>
  <w:style w:type="paragraph" w:styleId="BalloonText">
    <w:name w:val="Balloon Text"/>
    <w:basedOn w:val="Normal"/>
    <w:link w:val="BalloonTextChar"/>
    <w:uiPriority w:val="99"/>
    <w:semiHidden/>
    <w:unhideWhenUsed/>
    <w:rsid w:val="00EE78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7816"/>
    <w:rPr>
      <w:rFonts w:ascii="Tahoma" w:hAnsi="Tahoma" w:cs="Tahoma"/>
      <w:sz w:val="16"/>
      <w:szCs w:val="16"/>
      <w:lang w:val="ro-RO"/>
    </w:rPr>
  </w:style>
  <w:style w:type="paragraph" w:styleId="TOC2">
    <w:name w:val="toc 2"/>
    <w:basedOn w:val="Normal"/>
    <w:next w:val="Normal"/>
    <w:autoRedefine/>
    <w:uiPriority w:val="39"/>
    <w:semiHidden/>
    <w:unhideWhenUsed/>
    <w:qFormat/>
    <w:rsid w:val="00EE7816"/>
    <w:pPr>
      <w:spacing w:after="100"/>
      <w:ind w:left="220"/>
    </w:pPr>
    <w:rPr>
      <w:rFonts w:eastAsiaTheme="minorEastAsia"/>
      <w:lang w:val="en-US" w:eastAsia="ja-JP"/>
    </w:rPr>
  </w:style>
  <w:style w:type="paragraph" w:styleId="TOC1">
    <w:name w:val="toc 1"/>
    <w:basedOn w:val="Normal"/>
    <w:next w:val="Normal"/>
    <w:autoRedefine/>
    <w:uiPriority w:val="39"/>
    <w:semiHidden/>
    <w:unhideWhenUsed/>
    <w:qFormat/>
    <w:rsid w:val="00EE7816"/>
    <w:pPr>
      <w:spacing w:after="100"/>
    </w:pPr>
    <w:rPr>
      <w:rFonts w:eastAsiaTheme="minorEastAsia"/>
      <w:lang w:val="en-US" w:eastAsia="ja-JP"/>
    </w:rPr>
  </w:style>
  <w:style w:type="paragraph" w:styleId="TOC3">
    <w:name w:val="toc 3"/>
    <w:basedOn w:val="Normal"/>
    <w:next w:val="Normal"/>
    <w:autoRedefine/>
    <w:uiPriority w:val="39"/>
    <w:semiHidden/>
    <w:unhideWhenUsed/>
    <w:qFormat/>
    <w:rsid w:val="00EE7816"/>
    <w:pPr>
      <w:spacing w:after="100"/>
      <w:ind w:left="440"/>
    </w:pPr>
    <w:rPr>
      <w:rFonts w:eastAsiaTheme="minorEastAsia"/>
      <w:lang w:val="en-US" w:eastAsia="ja-JP"/>
    </w:rPr>
  </w:style>
  <w:style w:type="paragraph" w:styleId="ListParagraph">
    <w:name w:val="List Paragraph"/>
    <w:basedOn w:val="Normal"/>
    <w:uiPriority w:val="34"/>
    <w:qFormat/>
    <w:rsid w:val="00EE7816"/>
    <w:pPr>
      <w:ind w:left="720"/>
      <w:contextualSpacing/>
    </w:pPr>
  </w:style>
  <w:style w:type="table" w:styleId="TableGrid">
    <w:name w:val="Table Grid"/>
    <w:basedOn w:val="TableNormal"/>
    <w:uiPriority w:val="59"/>
    <w:rsid w:val="00EE78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1">
    <w:name w:val="Light List Accent 1"/>
    <w:basedOn w:val="TableNormal"/>
    <w:uiPriority w:val="61"/>
    <w:rsid w:val="00EE7816"/>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Heading2Char">
    <w:name w:val="Heading 2 Char"/>
    <w:basedOn w:val="DefaultParagraphFont"/>
    <w:link w:val="Heading2"/>
    <w:uiPriority w:val="9"/>
    <w:semiHidden/>
    <w:rsid w:val="002F63C3"/>
    <w:rPr>
      <w:rFonts w:asciiTheme="majorHAnsi" w:eastAsiaTheme="majorEastAsia" w:hAnsiTheme="majorHAnsi" w:cstheme="majorBidi"/>
      <w:b/>
      <w:bCs/>
      <w:color w:val="4F81BD" w:themeColor="accent1"/>
      <w:sz w:val="26"/>
      <w:szCs w:val="26"/>
      <w:lang w:val="ro-RO"/>
    </w:rPr>
  </w:style>
  <w:style w:type="paragraph" w:styleId="FootnoteText">
    <w:name w:val="footnote text"/>
    <w:basedOn w:val="Normal"/>
    <w:link w:val="FootnoteTextChar"/>
    <w:uiPriority w:val="99"/>
    <w:semiHidden/>
    <w:unhideWhenUsed/>
    <w:rsid w:val="00AF230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F2307"/>
    <w:rPr>
      <w:sz w:val="20"/>
      <w:szCs w:val="20"/>
      <w:lang w:val="ro-RO"/>
    </w:rPr>
  </w:style>
  <w:style w:type="character" w:styleId="FootnoteReference">
    <w:name w:val="footnote reference"/>
    <w:basedOn w:val="DefaultParagraphFont"/>
    <w:uiPriority w:val="99"/>
    <w:semiHidden/>
    <w:unhideWhenUsed/>
    <w:rsid w:val="00AF2307"/>
    <w:rPr>
      <w:vertAlign w:val="superscript"/>
    </w:rPr>
  </w:style>
  <w:style w:type="paragraph" w:customStyle="1" w:styleId="AddressTR">
    <w:name w:val="AddressTR"/>
    <w:basedOn w:val="Normal"/>
    <w:next w:val="Normal"/>
    <w:rsid w:val="00AF2307"/>
    <w:pPr>
      <w:spacing w:after="720" w:line="240" w:lineRule="auto"/>
      <w:ind w:left="5103"/>
    </w:pPr>
    <w:rPr>
      <w:rFonts w:ascii="Calibri" w:eastAsia="Times New Roman" w:hAnsi="Calibri" w:cs="Times New Roman"/>
      <w:sz w:val="24"/>
      <w:szCs w:val="24"/>
      <w:lang w:val="en-GB" w:eastAsia="en-GB"/>
    </w:rPr>
  </w:style>
  <w:style w:type="paragraph" w:styleId="Header">
    <w:name w:val="header"/>
    <w:basedOn w:val="Normal"/>
    <w:link w:val="HeaderChar"/>
    <w:uiPriority w:val="99"/>
    <w:unhideWhenUsed/>
    <w:rsid w:val="00D026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267E"/>
    <w:rPr>
      <w:lang w:val="ro-RO"/>
    </w:rPr>
  </w:style>
  <w:style w:type="paragraph" w:styleId="Footer">
    <w:name w:val="footer"/>
    <w:basedOn w:val="Normal"/>
    <w:link w:val="FooterChar"/>
    <w:uiPriority w:val="99"/>
    <w:unhideWhenUsed/>
    <w:rsid w:val="00D026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267E"/>
    <w:rPr>
      <w:lang w:val="ro-RO"/>
    </w:rPr>
  </w:style>
  <w:style w:type="table" w:styleId="LightShading-Accent3">
    <w:name w:val="Light Shading Accent 3"/>
    <w:basedOn w:val="TableNormal"/>
    <w:uiPriority w:val="60"/>
    <w:rsid w:val="00B232BA"/>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5">
    <w:name w:val="Light Shading Accent 5"/>
    <w:basedOn w:val="TableNormal"/>
    <w:uiPriority w:val="60"/>
    <w:rsid w:val="00B232BA"/>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Grid-Accent1">
    <w:name w:val="Light Grid Accent 1"/>
    <w:basedOn w:val="TableNormal"/>
    <w:uiPriority w:val="62"/>
    <w:rsid w:val="00B232BA"/>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styleId="Hyperlink">
    <w:name w:val="Hyperlink"/>
    <w:basedOn w:val="DefaultParagraphFont"/>
    <w:uiPriority w:val="99"/>
    <w:unhideWhenUsed/>
    <w:rsid w:val="006F5AE3"/>
    <w:rPr>
      <w:color w:val="0000FF" w:themeColor="hyperlink"/>
      <w:u w:val="single"/>
    </w:rPr>
  </w:style>
  <w:style w:type="paragraph" w:customStyle="1" w:styleId="Guidelines5">
    <w:name w:val="Guidelines 5"/>
    <w:basedOn w:val="Normal"/>
    <w:rsid w:val="00FF6A93"/>
    <w:pPr>
      <w:keepNext/>
      <w:spacing w:before="240" w:after="240" w:line="240" w:lineRule="auto"/>
      <w:jc w:val="both"/>
    </w:pPr>
    <w:rPr>
      <w:rFonts w:ascii="Verdana" w:eastAsia="Times New Roman" w:hAnsi="Verdana" w:cs="Times New Roman"/>
      <w:b/>
      <w:noProof/>
      <w:snapToGrid w:val="0"/>
      <w:sz w:val="24"/>
      <w:szCs w:val="20"/>
    </w:rPr>
  </w:style>
  <w:style w:type="paragraph" w:customStyle="1" w:styleId="Bulletletter">
    <w:name w:val="Bullet letter"/>
    <w:basedOn w:val="Normal"/>
    <w:rsid w:val="00FF6A93"/>
    <w:pPr>
      <w:keepNext/>
      <w:numPr>
        <w:numId w:val="21"/>
      </w:numPr>
      <w:tabs>
        <w:tab w:val="left" w:pos="-3402"/>
        <w:tab w:val="num" w:pos="567"/>
      </w:tabs>
      <w:spacing w:after="120" w:line="240" w:lineRule="auto"/>
      <w:ind w:left="567" w:hanging="567"/>
      <w:jc w:val="both"/>
    </w:pPr>
    <w:rPr>
      <w:rFonts w:ascii="Arial" w:eastAsia="Times New Roman" w:hAnsi="Arial" w:cs="Times New Roman"/>
      <w:szCs w:val="20"/>
      <w:lang w:val="en-IE"/>
    </w:rPr>
  </w:style>
  <w:style w:type="character" w:styleId="CommentReference">
    <w:name w:val="annotation reference"/>
    <w:basedOn w:val="DefaultParagraphFont"/>
    <w:uiPriority w:val="99"/>
    <w:semiHidden/>
    <w:unhideWhenUsed/>
    <w:rsid w:val="001522C0"/>
    <w:rPr>
      <w:sz w:val="16"/>
      <w:szCs w:val="16"/>
    </w:rPr>
  </w:style>
  <w:style w:type="paragraph" w:styleId="CommentText">
    <w:name w:val="annotation text"/>
    <w:basedOn w:val="Normal"/>
    <w:link w:val="CommentTextChar"/>
    <w:uiPriority w:val="99"/>
    <w:semiHidden/>
    <w:unhideWhenUsed/>
    <w:rsid w:val="001522C0"/>
    <w:pPr>
      <w:spacing w:line="240" w:lineRule="auto"/>
    </w:pPr>
    <w:rPr>
      <w:sz w:val="20"/>
      <w:szCs w:val="20"/>
    </w:rPr>
  </w:style>
  <w:style w:type="character" w:customStyle="1" w:styleId="CommentTextChar">
    <w:name w:val="Comment Text Char"/>
    <w:basedOn w:val="DefaultParagraphFont"/>
    <w:link w:val="CommentText"/>
    <w:uiPriority w:val="99"/>
    <w:semiHidden/>
    <w:rsid w:val="001522C0"/>
    <w:rPr>
      <w:sz w:val="20"/>
      <w:szCs w:val="20"/>
      <w:lang w:val="ro-RO"/>
    </w:rPr>
  </w:style>
  <w:style w:type="paragraph" w:styleId="CommentSubject">
    <w:name w:val="annotation subject"/>
    <w:basedOn w:val="CommentText"/>
    <w:next w:val="CommentText"/>
    <w:link w:val="CommentSubjectChar"/>
    <w:uiPriority w:val="99"/>
    <w:semiHidden/>
    <w:unhideWhenUsed/>
    <w:rsid w:val="001522C0"/>
    <w:rPr>
      <w:b/>
      <w:bCs/>
    </w:rPr>
  </w:style>
  <w:style w:type="character" w:customStyle="1" w:styleId="CommentSubjectChar">
    <w:name w:val="Comment Subject Char"/>
    <w:basedOn w:val="CommentTextChar"/>
    <w:link w:val="CommentSubject"/>
    <w:uiPriority w:val="99"/>
    <w:semiHidden/>
    <w:rsid w:val="001522C0"/>
    <w:rPr>
      <w:b/>
      <w:bCs/>
      <w:sz w:val="20"/>
      <w:szCs w:val="20"/>
      <w:lang w:val="ro-RO"/>
    </w:rPr>
  </w:style>
  <w:style w:type="paragraph" w:customStyle="1" w:styleId="Default">
    <w:name w:val="Default"/>
    <w:rsid w:val="0099731D"/>
    <w:pPr>
      <w:autoSpaceDE w:val="0"/>
      <w:autoSpaceDN w:val="0"/>
      <w:adjustRightInd w:val="0"/>
      <w:spacing w:after="0" w:line="240" w:lineRule="auto"/>
    </w:pPr>
    <w:rPr>
      <w:rFonts w:ascii="Calibri" w:hAnsi="Calibri" w:cs="Calibri"/>
      <w:color w:val="000000"/>
      <w:sz w:val="24"/>
      <w:szCs w:val="24"/>
    </w:rPr>
  </w:style>
  <w:style w:type="table" w:styleId="LightShading-Accent1">
    <w:name w:val="Light Shading Accent 1"/>
    <w:basedOn w:val="TableNormal"/>
    <w:uiPriority w:val="60"/>
    <w:rsid w:val="00F73017"/>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79838D-8723-4099-8314-718F67667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7</Pages>
  <Words>1917</Words>
  <Characters>10928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dc:creator>
  <cp:lastModifiedBy>Luminita</cp:lastModifiedBy>
  <cp:revision>34</cp:revision>
  <cp:lastPrinted>2015-12-19T14:53:00Z</cp:lastPrinted>
  <dcterms:created xsi:type="dcterms:W3CDTF">2016-02-01T13:10:00Z</dcterms:created>
  <dcterms:modified xsi:type="dcterms:W3CDTF">2016-09-02T09:09:00Z</dcterms:modified>
</cp:coreProperties>
</file>